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Calibri" w:hAnsi="Calibri" w:eastAsia="Calibri"/>
          <w:b/>
          <w:i w:val="0"/>
          <w:sz w:val="24"/>
        </w:rPr>
        <w:t>LexHub — Plateforme LegalTech pour cabinets marocains</w:t>
      </w:r>
    </w:p>
    <w:p>
      <w:pPr>
        <w:spacing w:after="40" w:line="240" w:lineRule="auto"/>
        <w:jc w:val="center"/>
      </w:pPr>
      <w:r>
        <w:rPr>
          <w:rFonts w:ascii="Calibri" w:hAnsi="Calibri" w:eastAsia="Calibri"/>
          <w:b w:val="0"/>
          <w:i w:val="0"/>
          <w:sz w:val="20"/>
        </w:rPr>
        <w:t>Destinataire : Hatim Benhaddou (WEBVOICE) — Stagiaire : Douae EL ASSAL</w:t>
      </w:r>
    </w:p>
    <w:p>
      <w:pPr>
        <w:spacing w:after="80" w:line="240" w:lineRule="auto"/>
        <w:jc w:val="center"/>
      </w:pPr>
      <w:r>
        <w:rPr>
          <w:rFonts w:ascii="Calibri" w:hAnsi="Calibri" w:eastAsia="Calibri"/>
          <w:b/>
          <w:i w:val="0"/>
          <w:sz w:val="32"/>
        </w:rPr>
        <w:t>Étude de marché &amp; proposition de plans tarifaires</w:t>
      </w:r>
    </w:p>
    <w:p>
      <w:pPr>
        <w:spacing w:after="240" w:line="240" w:lineRule="auto"/>
        <w:jc w:val="center"/>
      </w:pPr>
      <w:r>
        <w:rPr>
          <w:rFonts w:ascii="Calibri" w:hAnsi="Calibri" w:eastAsia="Calibri"/>
          <w:b w:val="0"/>
          <w:i/>
          <w:sz w:val="20"/>
        </w:rPr>
        <w:t>Document de cadrage rentabilité LexHub — août 2026 — sans engagement de paiement réel (phase préparation)</w:t>
      </w:r>
    </w:p>
    <w:p>
      <w:pPr>
        <w:pStyle w:val="Heading1"/>
      </w:pPr>
      <w:r>
        <w:rPr>
          <w:color w:val="1A365D"/>
        </w:rPr>
        <w:t>1. Synthèse exécutive</w:t>
      </w:r>
    </w:p>
    <w:p>
      <w:pPr>
        <w:spacing w:after="120" w:line="240" w:lineRule="auto"/>
      </w:pPr>
      <w:r>
        <w:rPr>
          <w:rFonts w:ascii="Calibri" w:hAnsi="Calibri" w:eastAsia="Calibri"/>
          <w:b w:val="0"/>
          <w:i w:val="0"/>
          <w:sz w:val="22"/>
        </w:rPr>
        <w:t>LexHub se positionne comme un SaaS B2B pour cabinets d'avocats marocains, centré sur la transformation voix → plaidoirie (arabe), la gestion de dossier et bientôt la génération d'une clé de barre à partir des pièces. Le marché LegalTech marocain est encore peu saturé sur la plaidoirie vocale ; les acteurs locaux facturent typiquement entre 99 et 3 490 MAD/mois selon le positionnement (assistant IA, risque juridique, gestion).</w:t>
      </w:r>
    </w:p>
    <w:p>
      <w:pPr>
        <w:spacing w:after="120" w:line="240" w:lineRule="auto"/>
      </w:pPr>
      <w:r>
        <w:rPr>
          <w:rFonts w:ascii="Calibri" w:hAnsi="Calibri" w:eastAsia="Calibri"/>
          <w:b/>
          <w:i w:val="0"/>
          <w:sz w:val="22"/>
        </w:rPr>
        <w:t>Recommandation : modèle freemium + essai Pro 14 jours + 4 plans publics, prix en MAD, limites par sièges (avocats / assistants) et par usage IA (plaidoiries / mois). Paiement Stripe (ou CMI / PayZone) en phase 2 — l'environnement produit (plans, quotas, UI, admin) est livré maintenant en mode démonstration.</w:t>
      </w:r>
    </w:p>
    <w:p>
      <w:pPr>
        <w:pStyle w:val="Heading1"/>
      </w:pPr>
      <w:r>
        <w:rPr>
          <w:color w:val="1A365D"/>
        </w:rPr>
        <w:t>2. Étude de marché (Maroc &amp; références mondiales)</w:t>
      </w:r>
    </w:p>
    <w:p>
      <w:pPr>
        <w:pStyle w:val="Heading2"/>
      </w:pPr>
      <w:r>
        <w:rPr>
          <w:color w:val="1A365D"/>
        </w:rPr>
        <w:t>2.1 Concurrentes / adjacentes au Maroc</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1A365D" w:val="clear"/>
          </w:tcPr>
          <w:p>
            <w:pPr>
              <w:jc w:val="center"/>
            </w:pPr>
            <w:r/>
            <w:r>
              <w:rPr>
                <w:rFonts w:ascii="Calibri" w:hAnsi="Calibri" w:eastAsia="Calibri"/>
                <w:b/>
                <w:i w:val="0"/>
                <w:color w:val="FFFFFF"/>
                <w:sz w:val="18"/>
              </w:rPr>
              <w:t>Acteur</w:t>
            </w:r>
          </w:p>
        </w:tc>
        <w:tc>
          <w:tcPr>
            <w:tcW w:type="dxa" w:w="2154"/>
            <w:shd w:fill="1A365D" w:val="clear"/>
          </w:tcPr>
          <w:p>
            <w:pPr>
              <w:jc w:val="center"/>
            </w:pPr>
            <w:r/>
            <w:r>
              <w:rPr>
                <w:rFonts w:ascii="Calibri" w:hAnsi="Calibri" w:eastAsia="Calibri"/>
                <w:b/>
                <w:i w:val="0"/>
                <w:color w:val="FFFFFF"/>
                <w:sz w:val="18"/>
              </w:rPr>
              <w:t>Positionnement</w:t>
            </w:r>
          </w:p>
        </w:tc>
        <w:tc>
          <w:tcPr>
            <w:tcW w:type="dxa" w:w="2154"/>
            <w:shd w:fill="1A365D" w:val="clear"/>
          </w:tcPr>
          <w:p>
            <w:pPr>
              <w:jc w:val="center"/>
            </w:pPr>
            <w:r/>
            <w:r>
              <w:rPr>
                <w:rFonts w:ascii="Calibri" w:hAnsi="Calibri" w:eastAsia="Calibri"/>
                <w:b/>
                <w:i w:val="0"/>
                <w:color w:val="FFFFFF"/>
                <w:sz w:val="18"/>
              </w:rPr>
              <w:t>Fourchette observée</w:t>
            </w:r>
          </w:p>
        </w:tc>
        <w:tc>
          <w:tcPr>
            <w:tcW w:type="dxa" w:w="2551"/>
            <w:shd w:fill="1A365D" w:val="clear"/>
          </w:tcPr>
          <w:p>
            <w:pPr>
              <w:jc w:val="center"/>
            </w:pPr>
            <w:r/>
            <w:r>
              <w:rPr>
                <w:rFonts w:ascii="Calibri" w:hAnsi="Calibri" w:eastAsia="Calibri"/>
                <w:b/>
                <w:i w:val="0"/>
                <w:color w:val="FFFFFF"/>
                <w:sz w:val="18"/>
              </w:rPr>
              <w:t>Leçon pour LexHub</w:t>
            </w:r>
          </w:p>
        </w:tc>
      </w:tr>
      <w:tr>
        <w:tc>
          <w:tcPr>
            <w:tcW w:type="dxa" w:w="1814"/>
          </w:tcPr>
          <w:p>
            <w:r/>
            <w:r>
              <w:rPr>
                <w:rFonts w:ascii="Calibri" w:hAnsi="Calibri" w:eastAsia="Calibri"/>
                <w:b w:val="0"/>
                <w:i w:val="0"/>
                <w:sz w:val="16"/>
              </w:rPr>
              <w:t>Kateb.ma</w:t>
            </w:r>
          </w:p>
        </w:tc>
        <w:tc>
          <w:tcPr>
            <w:tcW w:type="dxa" w:w="2154"/>
          </w:tcPr>
          <w:p>
            <w:r/>
            <w:r>
              <w:rPr>
                <w:rFonts w:ascii="Calibri" w:hAnsi="Calibri" w:eastAsia="Calibri"/>
                <w:b w:val="0"/>
                <w:i w:val="0"/>
                <w:sz w:val="16"/>
              </w:rPr>
              <w:t>Rédaction IA juridique</w:t>
            </w:r>
          </w:p>
        </w:tc>
        <w:tc>
          <w:tcPr>
            <w:tcW w:type="dxa" w:w="2154"/>
          </w:tcPr>
          <w:p>
            <w:r/>
            <w:r>
              <w:rPr>
                <w:rFonts w:ascii="Calibri" w:hAnsi="Calibri" w:eastAsia="Calibri"/>
                <w:b w:val="0"/>
                <w:i w:val="0"/>
                <w:sz w:val="16"/>
              </w:rPr>
              <w:t>≈ 490–790 MAD/mois / user</w:t>
            </w:r>
          </w:p>
        </w:tc>
        <w:tc>
          <w:tcPr>
            <w:tcW w:type="dxa" w:w="2551"/>
          </w:tcPr>
          <w:p>
            <w:r/>
            <w:r>
              <w:rPr>
                <w:rFonts w:ascii="Calibri" w:hAnsi="Calibri" w:eastAsia="Calibri"/>
                <w:b w:val="0"/>
                <w:i w:val="0"/>
                <w:sz w:val="16"/>
              </w:rPr>
              <w:t>Prix d'entrée ~500 MAD crédible</w:t>
            </w:r>
          </w:p>
        </w:tc>
      </w:tr>
      <w:tr>
        <w:tc>
          <w:tcPr>
            <w:tcW w:type="dxa" w:w="1814"/>
            <w:shd w:fill="F0F4F8" w:val="clear"/>
          </w:tcPr>
          <w:p>
            <w:r/>
            <w:r>
              <w:rPr>
                <w:rFonts w:ascii="Calibri" w:hAnsi="Calibri" w:eastAsia="Calibri"/>
                <w:b w:val="0"/>
                <w:i w:val="0"/>
                <w:sz w:val="16"/>
              </w:rPr>
              <w:t>ADALA</w:t>
            </w:r>
          </w:p>
        </w:tc>
        <w:tc>
          <w:tcPr>
            <w:tcW w:type="dxa" w:w="2154"/>
            <w:shd w:fill="F0F4F8" w:val="clear"/>
          </w:tcPr>
          <w:p>
            <w:r/>
            <w:r>
              <w:rPr>
                <w:rFonts w:ascii="Calibri" w:hAnsi="Calibri" w:eastAsia="Calibri"/>
                <w:b w:val="0"/>
                <w:i w:val="0"/>
                <w:sz w:val="16"/>
              </w:rPr>
              <w:t>Assistant juridique multi-usages</w:t>
            </w:r>
          </w:p>
        </w:tc>
        <w:tc>
          <w:tcPr>
            <w:tcW w:type="dxa" w:w="2154"/>
            <w:shd w:fill="F0F4F8" w:val="clear"/>
          </w:tcPr>
          <w:p>
            <w:r/>
            <w:r>
              <w:rPr>
                <w:rFonts w:ascii="Calibri" w:hAnsi="Calibri" w:eastAsia="Calibri"/>
                <w:b w:val="0"/>
                <w:i w:val="0"/>
                <w:sz w:val="16"/>
              </w:rPr>
              <w:t>0 → 749 MAD/mois + crédits</w:t>
            </w:r>
          </w:p>
        </w:tc>
        <w:tc>
          <w:tcPr>
            <w:tcW w:type="dxa" w:w="2551"/>
            <w:shd w:fill="F0F4F8" w:val="clear"/>
          </w:tcPr>
          <w:p>
            <w:r/>
            <w:r>
              <w:rPr>
                <w:rFonts w:ascii="Calibri" w:hAnsi="Calibri" w:eastAsia="Calibri"/>
                <w:b w:val="0"/>
                <w:i w:val="0"/>
                <w:sz w:val="16"/>
              </w:rPr>
              <w:t>Freemium + packs de crédits</w:t>
            </w:r>
          </w:p>
        </w:tc>
      </w:tr>
      <w:tr>
        <w:tc>
          <w:tcPr>
            <w:tcW w:type="dxa" w:w="1814"/>
          </w:tcPr>
          <w:p>
            <w:r/>
            <w:r>
              <w:rPr>
                <w:rFonts w:ascii="Calibri" w:hAnsi="Calibri" w:eastAsia="Calibri"/>
                <w:b w:val="0"/>
                <w:i w:val="0"/>
                <w:sz w:val="16"/>
              </w:rPr>
              <w:t>Litigo.ma</w:t>
            </w:r>
          </w:p>
        </w:tc>
        <w:tc>
          <w:tcPr>
            <w:tcW w:type="dxa" w:w="2154"/>
          </w:tcPr>
          <w:p>
            <w:r/>
            <w:r>
              <w:rPr>
                <w:rFonts w:ascii="Calibri" w:hAnsi="Calibri" w:eastAsia="Calibri"/>
                <w:b w:val="0"/>
                <w:i w:val="0"/>
                <w:sz w:val="16"/>
              </w:rPr>
              <w:t>Risk / veille tribunaux</w:t>
            </w:r>
          </w:p>
        </w:tc>
        <w:tc>
          <w:tcPr>
            <w:tcW w:type="dxa" w:w="2154"/>
          </w:tcPr>
          <w:p>
            <w:r/>
            <w:r>
              <w:rPr>
                <w:rFonts w:ascii="Calibri" w:hAnsi="Calibri" w:eastAsia="Calibri"/>
                <w:b w:val="0"/>
                <w:i w:val="0"/>
                <w:sz w:val="16"/>
              </w:rPr>
              <w:t>490 → 3 490 MAD/mois</w:t>
            </w:r>
          </w:p>
        </w:tc>
        <w:tc>
          <w:tcPr>
            <w:tcW w:type="dxa" w:w="2551"/>
          </w:tcPr>
          <w:p>
            <w:r/>
            <w:r>
              <w:rPr>
                <w:rFonts w:ascii="Calibri" w:hAnsi="Calibri" w:eastAsia="Calibri"/>
                <w:b w:val="0"/>
                <w:i w:val="0"/>
                <w:sz w:val="16"/>
              </w:rPr>
              <w:t>Tier Business élevé acceptable</w:t>
            </w:r>
          </w:p>
        </w:tc>
      </w:tr>
      <w:tr>
        <w:tc>
          <w:tcPr>
            <w:tcW w:type="dxa" w:w="1814"/>
            <w:shd w:fill="F0F4F8" w:val="clear"/>
          </w:tcPr>
          <w:p>
            <w:r/>
            <w:r>
              <w:rPr>
                <w:rFonts w:ascii="Calibri" w:hAnsi="Calibri" w:eastAsia="Calibri"/>
                <w:b w:val="0"/>
                <w:i w:val="0"/>
                <w:sz w:val="16"/>
              </w:rPr>
              <w:t>LegalPlus</w:t>
            </w:r>
          </w:p>
        </w:tc>
        <w:tc>
          <w:tcPr>
            <w:tcW w:type="dxa" w:w="2154"/>
            <w:shd w:fill="F0F4F8" w:val="clear"/>
          </w:tcPr>
          <w:p>
            <w:r/>
            <w:r>
              <w:rPr>
                <w:rFonts w:ascii="Calibri" w:hAnsi="Calibri" w:eastAsia="Calibri"/>
                <w:b w:val="0"/>
                <w:i w:val="0"/>
                <w:sz w:val="16"/>
              </w:rPr>
              <w:t>Juridique + admin entreprise</w:t>
            </w:r>
          </w:p>
        </w:tc>
        <w:tc>
          <w:tcPr>
            <w:tcW w:type="dxa" w:w="2154"/>
            <w:shd w:fill="F0F4F8" w:val="clear"/>
          </w:tcPr>
          <w:p>
            <w:r/>
            <w:r>
              <w:rPr>
                <w:rFonts w:ascii="Calibri" w:hAnsi="Calibri" w:eastAsia="Calibri"/>
                <w:b w:val="0"/>
                <w:i w:val="0"/>
                <w:sz w:val="16"/>
              </w:rPr>
              <w:t>200 → 890 MAD + essai 14 j</w:t>
            </w:r>
          </w:p>
        </w:tc>
        <w:tc>
          <w:tcPr>
            <w:tcW w:type="dxa" w:w="2551"/>
            <w:shd w:fill="F0F4F8" w:val="clear"/>
          </w:tcPr>
          <w:p>
            <w:r/>
            <w:r>
              <w:rPr>
                <w:rFonts w:ascii="Calibri" w:hAnsi="Calibri" w:eastAsia="Calibri"/>
                <w:b w:val="0"/>
                <w:i w:val="0"/>
                <w:sz w:val="16"/>
              </w:rPr>
              <w:t>Essai 14 j = standard marché</w:t>
            </w:r>
          </w:p>
        </w:tc>
      </w:tr>
      <w:tr>
        <w:tc>
          <w:tcPr>
            <w:tcW w:type="dxa" w:w="1814"/>
          </w:tcPr>
          <w:p>
            <w:r/>
            <w:r>
              <w:rPr>
                <w:rFonts w:ascii="Calibri" w:hAnsi="Calibri" w:eastAsia="Calibri"/>
                <w:b w:val="0"/>
                <w:i w:val="0"/>
                <w:sz w:val="16"/>
              </w:rPr>
              <w:t>Beveron / SLC</w:t>
            </w:r>
          </w:p>
        </w:tc>
        <w:tc>
          <w:tcPr>
            <w:tcW w:type="dxa" w:w="2154"/>
          </w:tcPr>
          <w:p>
            <w:r/>
            <w:r>
              <w:rPr>
                <w:rFonts w:ascii="Calibri" w:hAnsi="Calibri" w:eastAsia="Calibri"/>
                <w:b w:val="0"/>
                <w:i w:val="0"/>
                <w:sz w:val="16"/>
              </w:rPr>
              <w:t>Case mgmt corporate</w:t>
            </w:r>
          </w:p>
        </w:tc>
        <w:tc>
          <w:tcPr>
            <w:tcW w:type="dxa" w:w="2154"/>
          </w:tcPr>
          <w:p>
            <w:r/>
            <w:r>
              <w:rPr>
                <w:rFonts w:ascii="Calibri" w:hAnsi="Calibri" w:eastAsia="Calibri"/>
                <w:b w:val="0"/>
                <w:i w:val="0"/>
                <w:sz w:val="16"/>
              </w:rPr>
              <w:t>Éditions par taille d'équipe</w:t>
            </w:r>
          </w:p>
        </w:tc>
        <w:tc>
          <w:tcPr>
            <w:tcW w:type="dxa" w:w="2551"/>
          </w:tcPr>
          <w:p>
            <w:r/>
            <w:r>
              <w:rPr>
                <w:rFonts w:ascii="Calibri" w:hAnsi="Calibri" w:eastAsia="Calibri"/>
                <w:b w:val="0"/>
                <w:i w:val="0"/>
                <w:sz w:val="16"/>
              </w:rPr>
              <w:t>Tarification par sièges</w:t>
            </w:r>
          </w:p>
        </w:tc>
      </w:tr>
    </w:tbl>
    <w:p/>
    <w:p>
      <w:pPr>
        <w:pStyle w:val="Heading2"/>
      </w:pPr>
      <w:r>
        <w:rPr>
          <w:color w:val="1A365D"/>
        </w:rPr>
        <w:t>2.2 Références internationales (psychologie d'offre)</w:t>
      </w:r>
    </w:p>
    <w:p>
      <w:pPr>
        <w:spacing w:after="120" w:line="240" w:lineRule="auto"/>
      </w:pPr>
      <w:r>
        <w:rPr>
          <w:rFonts w:ascii="Calibri" w:hAnsi="Calibri" w:eastAsia="Calibri"/>
          <w:b w:val="0"/>
          <w:i w:val="0"/>
          <w:sz w:val="22"/>
        </w:rPr>
        <w:t>Cursor, Notion, Clio, Harvey.ai et Doctrine utilisent tous une échelle : essai gratuit du plan « Pro », un plan Free volontairement limité (hook), un plan Pro mis en avant (« Recommandé »), un plan Enterprise sur devis. LexHub reprend ce pattern pour maximiser l'upgrade sans agressivité.</w:t>
      </w:r>
    </w:p>
    <w:p>
      <w:pPr>
        <w:spacing w:after="120" w:line="240" w:lineRule="auto"/>
      </w:pPr>
      <w:r>
        <w:rPr>
          <w:rFonts w:ascii="Calibri" w:hAnsi="Calibri" w:eastAsia="Calibri"/>
          <w:b w:val="0"/>
          <w:i w:val="0"/>
          <w:sz w:val="22"/>
        </w:rPr>
        <w:t>Métriques d'usage visibles (jours d'essai restants, barre « 12/40 plaidoiries ») créent l'urgence douce et la transparence — comme dans Cursor.</w:t>
      </w:r>
    </w:p>
    <w:p>
      <w:pPr>
        <w:pStyle w:val="Heading2"/>
      </w:pPr>
      <w:r>
        <w:rPr>
          <w:color w:val="1A365D"/>
        </w:rPr>
        <w:t>2.3 Persona &amp; willingness-to-pay</w:t>
      </w:r>
    </w:p>
    <w:p>
      <w:pPr>
        <w:spacing w:after="120" w:line="240" w:lineRule="auto"/>
      </w:pPr>
      <w:r>
        <w:rPr>
          <w:rFonts w:ascii="Calibri" w:hAnsi="Calibri" w:eastAsia="Calibri"/>
          <w:b w:val="0"/>
          <w:i w:val="0"/>
          <w:sz w:val="22"/>
        </w:rPr>
        <w:t>Cible primaire : avocat solo / cabinet 2–8 personnes à Casablanca, Rabat, Tanger, Fès, Marrakech. Pain : ressaisie des plaidoiries, perte de temps, risque de fuite de noms clients vers des IA grand public. Willingness-to-pay estimée : 400–1 200 MAD/mois pour un outil qui livre une plaidoirie exportable conforme aux usages marocains, avec confidentialité (anonymisation avant envoi LLM).</w:t>
      </w:r>
    </w:p>
    <w:p>
      <w:pPr>
        <w:pStyle w:val="Heading1"/>
      </w:pPr>
      <w:r>
        <w:rPr>
          <w:color w:val="1A365D"/>
        </w:rPr>
        <w:t>3. Proposition de plans recommandés (à valider)</w:t>
      </w:r>
    </w:p>
    <w:p>
      <w:pPr>
        <w:spacing w:after="120" w:line="240" w:lineRule="auto"/>
      </w:pPr>
      <w:r>
        <w:rPr>
          <w:rFonts w:ascii="Calibri" w:hAnsi="Calibri" w:eastAsia="Calibri"/>
          <w:b w:val="0"/>
          <w:i/>
          <w:sz w:val="20"/>
        </w:rPr>
        <w:t>Devise : MAD HT. Facturation mensuelle ou annuelle (−17 %). Paiement réel : phase 2.</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814"/>
            <w:shd w:fill="1A365D" w:val="clear"/>
          </w:tcPr>
          <w:p>
            <w:pPr>
              <w:jc w:val="center"/>
            </w:pPr>
            <w:r/>
            <w:r>
              <w:rPr>
                <w:rFonts w:ascii="Calibri" w:hAnsi="Calibri" w:eastAsia="Calibri"/>
                <w:b/>
                <w:i w:val="0"/>
                <w:color w:val="FFFFFF"/>
                <w:sz w:val="18"/>
              </w:rPr>
              <w:t>Plan</w:t>
            </w:r>
          </w:p>
        </w:tc>
        <w:tc>
          <w:tcPr>
            <w:tcW w:type="dxa" w:w="1417"/>
            <w:shd w:fill="1A365D" w:val="clear"/>
          </w:tcPr>
          <w:p>
            <w:pPr>
              <w:jc w:val="center"/>
            </w:pPr>
            <w:r/>
            <w:r>
              <w:rPr>
                <w:rFonts w:ascii="Calibri" w:hAnsi="Calibri" w:eastAsia="Calibri"/>
                <w:b/>
                <w:i w:val="0"/>
                <w:color w:val="FFFFFF"/>
                <w:sz w:val="18"/>
              </w:rPr>
              <w:t>Prix / mois</w:t>
            </w:r>
          </w:p>
        </w:tc>
        <w:tc>
          <w:tcPr>
            <w:tcW w:type="dxa" w:w="2268"/>
            <w:shd w:fill="1A365D" w:val="clear"/>
          </w:tcPr>
          <w:p>
            <w:pPr>
              <w:jc w:val="center"/>
            </w:pPr>
            <w:r/>
            <w:r>
              <w:rPr>
                <w:rFonts w:ascii="Calibri" w:hAnsi="Calibri" w:eastAsia="Calibri"/>
                <w:b/>
                <w:i w:val="0"/>
                <w:color w:val="FFFFFF"/>
                <w:sz w:val="18"/>
              </w:rPr>
              <w:t>Sièges</w:t>
            </w:r>
          </w:p>
        </w:tc>
        <w:tc>
          <w:tcPr>
            <w:tcW w:type="dxa" w:w="1984"/>
            <w:shd w:fill="1A365D" w:val="clear"/>
          </w:tcPr>
          <w:p>
            <w:pPr>
              <w:jc w:val="center"/>
            </w:pPr>
            <w:r/>
            <w:r>
              <w:rPr>
                <w:rFonts w:ascii="Calibri" w:hAnsi="Calibri" w:eastAsia="Calibri"/>
                <w:b/>
                <w:i w:val="0"/>
                <w:color w:val="FFFFFF"/>
                <w:sz w:val="18"/>
              </w:rPr>
              <w:t>Plaidoiries IA / mois</w:t>
            </w:r>
          </w:p>
        </w:tc>
        <w:tc>
          <w:tcPr>
            <w:tcW w:type="dxa" w:w="2268"/>
            <w:shd w:fill="1A365D" w:val="clear"/>
          </w:tcPr>
          <w:p>
            <w:pPr>
              <w:jc w:val="center"/>
            </w:pPr>
            <w:r/>
            <w:r>
              <w:rPr>
                <w:rFonts w:ascii="Calibri" w:hAnsi="Calibri" w:eastAsia="Calibri"/>
                <w:b/>
                <w:i w:val="0"/>
                <w:color w:val="FFFFFF"/>
                <w:sz w:val="18"/>
              </w:rPr>
              <w:t>Différenciateur</w:t>
            </w:r>
          </w:p>
        </w:tc>
      </w:tr>
      <w:tr>
        <w:tc>
          <w:tcPr>
            <w:tcW w:type="dxa" w:w="1814"/>
          </w:tcPr>
          <w:p>
            <w:r/>
            <w:r>
              <w:rPr>
                <w:rFonts w:ascii="Calibri" w:hAnsi="Calibri" w:eastAsia="Calibri"/>
                <w:b w:val="0"/>
                <w:i w:val="0"/>
                <w:sz w:val="16"/>
              </w:rPr>
              <w:t>Découverte (Free)</w:t>
            </w:r>
          </w:p>
        </w:tc>
        <w:tc>
          <w:tcPr>
            <w:tcW w:type="dxa" w:w="1417"/>
          </w:tcPr>
          <w:p>
            <w:r/>
            <w:r>
              <w:rPr>
                <w:rFonts w:ascii="Calibri" w:hAnsi="Calibri" w:eastAsia="Calibri"/>
                <w:b w:val="0"/>
                <w:i w:val="0"/>
                <w:sz w:val="16"/>
              </w:rPr>
              <w:t>0</w:t>
            </w:r>
          </w:p>
        </w:tc>
        <w:tc>
          <w:tcPr>
            <w:tcW w:type="dxa" w:w="2268"/>
          </w:tcPr>
          <w:p>
            <w:r/>
            <w:r>
              <w:rPr>
                <w:rFonts w:ascii="Calibri" w:hAnsi="Calibri" w:eastAsia="Calibri"/>
                <w:b w:val="0"/>
                <w:i w:val="0"/>
                <w:sz w:val="16"/>
              </w:rPr>
              <w:t>1 avocat · 0 assistant</w:t>
            </w:r>
          </w:p>
        </w:tc>
        <w:tc>
          <w:tcPr>
            <w:tcW w:type="dxa" w:w="1984"/>
          </w:tcPr>
          <w:p>
            <w:r/>
            <w:r>
              <w:rPr>
                <w:rFonts w:ascii="Calibri" w:hAnsi="Calibri" w:eastAsia="Calibri"/>
                <w:b w:val="0"/>
                <w:i w:val="0"/>
                <w:sz w:val="16"/>
              </w:rPr>
              <w:t>5</w:t>
            </w:r>
          </w:p>
        </w:tc>
        <w:tc>
          <w:tcPr>
            <w:tcW w:type="dxa" w:w="2268"/>
          </w:tcPr>
          <w:p>
            <w:r/>
            <w:r>
              <w:rPr>
                <w:rFonts w:ascii="Calibri" w:hAnsi="Calibri" w:eastAsia="Calibri"/>
                <w:b w:val="0"/>
                <w:i w:val="0"/>
                <w:sz w:val="16"/>
              </w:rPr>
              <w:t>Hook — découverte produit</w:t>
            </w:r>
          </w:p>
        </w:tc>
      </w:tr>
      <w:tr>
        <w:tc>
          <w:tcPr>
            <w:tcW w:type="dxa" w:w="1814"/>
            <w:shd w:fill="F0F4F8" w:val="clear"/>
          </w:tcPr>
          <w:p>
            <w:r/>
            <w:r>
              <w:rPr>
                <w:rFonts w:ascii="Calibri" w:hAnsi="Calibri" w:eastAsia="Calibri"/>
                <w:b w:val="0"/>
                <w:i w:val="0"/>
                <w:sz w:val="16"/>
              </w:rPr>
              <w:t>Solo</w:t>
            </w:r>
          </w:p>
        </w:tc>
        <w:tc>
          <w:tcPr>
            <w:tcW w:type="dxa" w:w="1417"/>
            <w:shd w:fill="F0F4F8" w:val="clear"/>
          </w:tcPr>
          <w:p>
            <w:r/>
            <w:r>
              <w:rPr>
                <w:rFonts w:ascii="Calibri" w:hAnsi="Calibri" w:eastAsia="Calibri"/>
                <w:b w:val="0"/>
                <w:i w:val="0"/>
                <w:sz w:val="16"/>
              </w:rPr>
              <w:t>490</w:t>
            </w:r>
          </w:p>
        </w:tc>
        <w:tc>
          <w:tcPr>
            <w:tcW w:type="dxa" w:w="2268"/>
            <w:shd w:fill="F0F4F8" w:val="clear"/>
          </w:tcPr>
          <w:p>
            <w:r/>
            <w:r>
              <w:rPr>
                <w:rFonts w:ascii="Calibri" w:hAnsi="Calibri" w:eastAsia="Calibri"/>
                <w:b w:val="0"/>
                <w:i w:val="0"/>
                <w:sz w:val="16"/>
              </w:rPr>
              <w:t>1 avocat · 1 assistant</w:t>
            </w:r>
          </w:p>
        </w:tc>
        <w:tc>
          <w:tcPr>
            <w:tcW w:type="dxa" w:w="1984"/>
            <w:shd w:fill="F0F4F8" w:val="clear"/>
          </w:tcPr>
          <w:p>
            <w:r/>
            <w:r>
              <w:rPr>
                <w:rFonts w:ascii="Calibri" w:hAnsi="Calibri" w:eastAsia="Calibri"/>
                <w:b w:val="0"/>
                <w:i w:val="0"/>
                <w:sz w:val="16"/>
              </w:rPr>
              <w:t>40</w:t>
            </w:r>
          </w:p>
        </w:tc>
        <w:tc>
          <w:tcPr>
            <w:tcW w:type="dxa" w:w="2268"/>
            <w:shd w:fill="F0F4F8" w:val="clear"/>
          </w:tcPr>
          <w:p>
            <w:r/>
            <w:r>
              <w:rPr>
                <w:rFonts w:ascii="Calibri" w:hAnsi="Calibri" w:eastAsia="Calibri"/>
                <w:b w:val="0"/>
                <w:i w:val="0"/>
                <w:sz w:val="16"/>
              </w:rPr>
              <w:t>Indépendant / petite étude</w:t>
            </w:r>
          </w:p>
        </w:tc>
      </w:tr>
      <w:tr>
        <w:tc>
          <w:tcPr>
            <w:tcW w:type="dxa" w:w="1814"/>
          </w:tcPr>
          <w:p>
            <w:r/>
            <w:r>
              <w:rPr>
                <w:rFonts w:ascii="Calibri" w:hAnsi="Calibri" w:eastAsia="Calibri"/>
                <w:b w:val="0"/>
                <w:i w:val="0"/>
                <w:sz w:val="16"/>
              </w:rPr>
              <w:t>Cabinet Pro ★</w:t>
            </w:r>
          </w:p>
        </w:tc>
        <w:tc>
          <w:tcPr>
            <w:tcW w:type="dxa" w:w="1417"/>
          </w:tcPr>
          <w:p>
            <w:r/>
            <w:r>
              <w:rPr>
                <w:rFonts w:ascii="Calibri" w:hAnsi="Calibri" w:eastAsia="Calibri"/>
                <w:b w:val="0"/>
                <w:i w:val="0"/>
                <w:sz w:val="16"/>
              </w:rPr>
              <w:t>990</w:t>
            </w:r>
          </w:p>
        </w:tc>
        <w:tc>
          <w:tcPr>
            <w:tcW w:type="dxa" w:w="2268"/>
          </w:tcPr>
          <w:p>
            <w:r/>
            <w:r>
              <w:rPr>
                <w:rFonts w:ascii="Calibri" w:hAnsi="Calibri" w:eastAsia="Calibri"/>
                <w:b w:val="0"/>
                <w:i w:val="0"/>
                <w:sz w:val="16"/>
              </w:rPr>
              <w:t>5 avocats · 3 assistants</w:t>
            </w:r>
          </w:p>
        </w:tc>
        <w:tc>
          <w:tcPr>
            <w:tcW w:type="dxa" w:w="1984"/>
          </w:tcPr>
          <w:p>
            <w:r/>
            <w:r>
              <w:rPr>
                <w:rFonts w:ascii="Calibri" w:hAnsi="Calibri" w:eastAsia="Calibri"/>
                <w:b w:val="0"/>
                <w:i w:val="0"/>
                <w:sz w:val="16"/>
              </w:rPr>
              <w:t>200</w:t>
            </w:r>
          </w:p>
        </w:tc>
        <w:tc>
          <w:tcPr>
            <w:tcW w:type="dxa" w:w="2268"/>
          </w:tcPr>
          <w:p>
            <w:r/>
            <w:r>
              <w:rPr>
                <w:rFonts w:ascii="Calibri" w:hAnsi="Calibri" w:eastAsia="Calibri"/>
                <w:b w:val="0"/>
                <w:i w:val="0"/>
                <w:sz w:val="16"/>
              </w:rPr>
              <w:t>Clé de barre + ChatGPT-class + PII</w:t>
            </w:r>
          </w:p>
        </w:tc>
      </w:tr>
      <w:tr>
        <w:tc>
          <w:tcPr>
            <w:tcW w:type="dxa" w:w="1814"/>
            <w:shd w:fill="F0F4F8" w:val="clear"/>
          </w:tcPr>
          <w:p>
            <w:r/>
            <w:r>
              <w:rPr>
                <w:rFonts w:ascii="Calibri" w:hAnsi="Calibri" w:eastAsia="Calibri"/>
                <w:b w:val="0"/>
                <w:i w:val="0"/>
                <w:sz w:val="16"/>
              </w:rPr>
              <w:t>Entreprise</w:t>
            </w:r>
          </w:p>
        </w:tc>
        <w:tc>
          <w:tcPr>
            <w:tcW w:type="dxa" w:w="1417"/>
            <w:shd w:fill="F0F4F8" w:val="clear"/>
          </w:tcPr>
          <w:p>
            <w:r/>
            <w:r>
              <w:rPr>
                <w:rFonts w:ascii="Calibri" w:hAnsi="Calibri" w:eastAsia="Calibri"/>
                <w:b w:val="0"/>
                <w:i w:val="0"/>
                <w:sz w:val="16"/>
              </w:rPr>
              <w:t>2 490+</w:t>
            </w:r>
          </w:p>
        </w:tc>
        <w:tc>
          <w:tcPr>
            <w:tcW w:type="dxa" w:w="2268"/>
            <w:shd w:fill="F0F4F8" w:val="clear"/>
          </w:tcPr>
          <w:p>
            <w:r/>
            <w:r>
              <w:rPr>
                <w:rFonts w:ascii="Calibri" w:hAnsi="Calibri" w:eastAsia="Calibri"/>
                <w:b w:val="0"/>
                <w:i w:val="0"/>
                <w:sz w:val="16"/>
              </w:rPr>
              <w:t>20 · 10 (ou custom)</w:t>
            </w:r>
          </w:p>
        </w:tc>
        <w:tc>
          <w:tcPr>
            <w:tcW w:type="dxa" w:w="1984"/>
            <w:shd w:fill="F0F4F8" w:val="clear"/>
          </w:tcPr>
          <w:p>
            <w:r/>
            <w:r>
              <w:rPr>
                <w:rFonts w:ascii="Calibri" w:hAnsi="Calibri" w:eastAsia="Calibri"/>
                <w:b w:val="0"/>
                <w:i w:val="0"/>
                <w:sz w:val="16"/>
              </w:rPr>
              <w:t>Illimité soft</w:t>
            </w:r>
          </w:p>
        </w:tc>
        <w:tc>
          <w:tcPr>
            <w:tcW w:type="dxa" w:w="2268"/>
            <w:shd w:fill="F0F4F8" w:val="clear"/>
          </w:tcPr>
          <w:p>
            <w:r/>
            <w:r>
              <w:rPr>
                <w:rFonts w:ascii="Calibri" w:hAnsi="Calibri" w:eastAsia="Calibri"/>
                <w:b w:val="0"/>
                <w:i w:val="0"/>
                <w:sz w:val="16"/>
              </w:rPr>
              <w:t>SLA, onboarding, facture</w:t>
            </w:r>
          </w:p>
        </w:tc>
      </w:tr>
    </w:tbl>
    <w:p/>
    <w:p>
      <w:pPr>
        <w:pStyle w:val="Heading2"/>
      </w:pPr>
      <w:r>
        <w:rPr>
          <w:color w:val="1A365D"/>
        </w:rPr>
        <w:t>3.1 Détail des entitlements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551"/>
            <w:shd w:fill="1A365D" w:val="clear"/>
          </w:tcPr>
          <w:p>
            <w:pPr>
              <w:jc w:val="center"/>
            </w:pPr>
            <w:r/>
            <w:r>
              <w:rPr>
                <w:rFonts w:ascii="Calibri" w:hAnsi="Calibri" w:eastAsia="Calibri"/>
                <w:b/>
                <w:i w:val="0"/>
                <w:color w:val="FFFFFF"/>
                <w:sz w:val="18"/>
              </w:rPr>
              <w:t>Capacité</w:t>
            </w:r>
          </w:p>
        </w:tc>
        <w:tc>
          <w:tcPr>
            <w:tcW w:type="dxa" w:w="1417"/>
            <w:shd w:fill="1A365D" w:val="clear"/>
          </w:tcPr>
          <w:p>
            <w:pPr>
              <w:jc w:val="center"/>
            </w:pPr>
            <w:r/>
            <w:r>
              <w:rPr>
                <w:rFonts w:ascii="Calibri" w:hAnsi="Calibri" w:eastAsia="Calibri"/>
                <w:b/>
                <w:i w:val="0"/>
                <w:color w:val="FFFFFF"/>
                <w:sz w:val="18"/>
              </w:rPr>
              <w:t>Free</w:t>
            </w:r>
          </w:p>
        </w:tc>
        <w:tc>
          <w:tcPr>
            <w:tcW w:type="dxa" w:w="1417"/>
            <w:shd w:fill="1A365D" w:val="clear"/>
          </w:tcPr>
          <w:p>
            <w:pPr>
              <w:jc w:val="center"/>
            </w:pPr>
            <w:r/>
            <w:r>
              <w:rPr>
                <w:rFonts w:ascii="Calibri" w:hAnsi="Calibri" w:eastAsia="Calibri"/>
                <w:b/>
                <w:i w:val="0"/>
                <w:color w:val="FFFFFF"/>
                <w:sz w:val="18"/>
              </w:rPr>
              <w:t>Solo</w:t>
            </w:r>
          </w:p>
        </w:tc>
        <w:tc>
          <w:tcPr>
            <w:tcW w:type="dxa" w:w="1587"/>
            <w:shd w:fill="1A365D" w:val="clear"/>
          </w:tcPr>
          <w:p>
            <w:pPr>
              <w:jc w:val="center"/>
            </w:pPr>
            <w:r/>
            <w:r>
              <w:rPr>
                <w:rFonts w:ascii="Calibri" w:hAnsi="Calibri" w:eastAsia="Calibri"/>
                <w:b/>
                <w:i w:val="0"/>
                <w:color w:val="FFFFFF"/>
                <w:sz w:val="18"/>
              </w:rPr>
              <w:t>Pro</w:t>
            </w:r>
          </w:p>
        </w:tc>
        <w:tc>
          <w:tcPr>
            <w:tcW w:type="dxa" w:w="1701"/>
            <w:shd w:fill="1A365D" w:val="clear"/>
          </w:tcPr>
          <w:p>
            <w:pPr>
              <w:jc w:val="center"/>
            </w:pPr>
            <w:r/>
            <w:r>
              <w:rPr>
                <w:rFonts w:ascii="Calibri" w:hAnsi="Calibri" w:eastAsia="Calibri"/>
                <w:b/>
                <w:i w:val="0"/>
                <w:color w:val="FFFFFF"/>
                <w:sz w:val="18"/>
              </w:rPr>
              <w:t>Entreprise</w:t>
            </w:r>
          </w:p>
        </w:tc>
      </w:tr>
      <w:tr>
        <w:tc>
          <w:tcPr>
            <w:tcW w:type="dxa" w:w="2551"/>
          </w:tcPr>
          <w:p>
            <w:r/>
            <w:r>
              <w:rPr>
                <w:rFonts w:ascii="Calibri" w:hAnsi="Calibri" w:eastAsia="Calibri"/>
                <w:b w:val="0"/>
                <w:i w:val="0"/>
                <w:sz w:val="16"/>
              </w:rPr>
              <w:t>Dossiers</w:t>
            </w:r>
          </w:p>
        </w:tc>
        <w:tc>
          <w:tcPr>
            <w:tcW w:type="dxa" w:w="1417"/>
          </w:tcPr>
          <w:p>
            <w:r/>
            <w:r>
              <w:rPr>
                <w:rFonts w:ascii="Calibri" w:hAnsi="Calibri" w:eastAsia="Calibri"/>
                <w:b w:val="0"/>
                <w:i w:val="0"/>
                <w:sz w:val="16"/>
              </w:rPr>
              <w:t>3</w:t>
            </w:r>
          </w:p>
        </w:tc>
        <w:tc>
          <w:tcPr>
            <w:tcW w:type="dxa" w:w="1417"/>
          </w:tcPr>
          <w:p>
            <w:r/>
            <w:r>
              <w:rPr>
                <w:rFonts w:ascii="Calibri" w:hAnsi="Calibri" w:eastAsia="Calibri"/>
                <w:b w:val="0"/>
                <w:i w:val="0"/>
                <w:sz w:val="16"/>
              </w:rPr>
              <w:t>Illimité</w:t>
            </w:r>
          </w:p>
        </w:tc>
        <w:tc>
          <w:tcPr>
            <w:tcW w:type="dxa" w:w="1587"/>
          </w:tcPr>
          <w:p>
            <w:r/>
            <w:r>
              <w:rPr>
                <w:rFonts w:ascii="Calibri" w:hAnsi="Calibri" w:eastAsia="Calibri"/>
                <w:b w:val="0"/>
                <w:i w:val="0"/>
                <w:sz w:val="16"/>
              </w:rPr>
              <w:t>Illimité</w:t>
            </w:r>
          </w:p>
        </w:tc>
        <w:tc>
          <w:tcPr>
            <w:tcW w:type="dxa" w:w="1701"/>
          </w:tcPr>
          <w:p>
            <w:r/>
            <w:r>
              <w:rPr>
                <w:rFonts w:ascii="Calibri" w:hAnsi="Calibri" w:eastAsia="Calibri"/>
                <w:b w:val="0"/>
                <w:i w:val="0"/>
                <w:sz w:val="16"/>
              </w:rPr>
              <w:t>Illimité</w:t>
            </w:r>
          </w:p>
        </w:tc>
      </w:tr>
      <w:tr>
        <w:tc>
          <w:tcPr>
            <w:tcW w:type="dxa" w:w="2551"/>
            <w:shd w:fill="F0F4F8" w:val="clear"/>
          </w:tcPr>
          <w:p>
            <w:r/>
            <w:r>
              <w:rPr>
                <w:rFonts w:ascii="Calibri" w:hAnsi="Calibri" w:eastAsia="Calibri"/>
                <w:b w:val="0"/>
                <w:i w:val="0"/>
                <w:sz w:val="16"/>
              </w:rPr>
              <w:t>Dictée arabe → fusḥā</w:t>
            </w:r>
          </w:p>
        </w:tc>
        <w:tc>
          <w:tcPr>
            <w:tcW w:type="dxa" w:w="1417"/>
            <w:shd w:fill="F0F4F8" w:val="clear"/>
          </w:tcPr>
          <w:p>
            <w:r/>
            <w:r>
              <w:rPr>
                <w:rFonts w:ascii="Calibri" w:hAnsi="Calibri" w:eastAsia="Calibri"/>
                <w:b w:val="0"/>
                <w:i w:val="0"/>
                <w:sz w:val="16"/>
              </w:rPr>
              <w:t>Oui</w:t>
            </w:r>
          </w:p>
        </w:tc>
        <w:tc>
          <w:tcPr>
            <w:tcW w:type="dxa" w:w="1417"/>
            <w:shd w:fill="F0F4F8" w:val="clear"/>
          </w:tcPr>
          <w:p>
            <w:r/>
            <w:r>
              <w:rPr>
                <w:rFonts w:ascii="Calibri" w:hAnsi="Calibri" w:eastAsia="Calibri"/>
                <w:b w:val="0"/>
                <w:i w:val="0"/>
                <w:sz w:val="16"/>
              </w:rPr>
              <w:t>Oui</w:t>
            </w:r>
          </w:p>
        </w:tc>
        <w:tc>
          <w:tcPr>
            <w:tcW w:type="dxa" w:w="1587"/>
            <w:shd w:fill="F0F4F8" w:val="clear"/>
          </w:tcPr>
          <w:p>
            <w:r/>
            <w:r>
              <w:rPr>
                <w:rFonts w:ascii="Calibri" w:hAnsi="Calibri" w:eastAsia="Calibri"/>
                <w:b w:val="0"/>
                <w:i w:val="0"/>
                <w:sz w:val="16"/>
              </w:rPr>
              <w:t>Oui</w:t>
            </w:r>
          </w:p>
        </w:tc>
        <w:tc>
          <w:tcPr>
            <w:tcW w:type="dxa" w:w="1701"/>
            <w:shd w:fill="F0F4F8" w:val="clear"/>
          </w:tcPr>
          <w:p>
            <w:r/>
            <w:r>
              <w:rPr>
                <w:rFonts w:ascii="Calibri" w:hAnsi="Calibri" w:eastAsia="Calibri"/>
                <w:b w:val="0"/>
                <w:i w:val="0"/>
                <w:sz w:val="16"/>
              </w:rPr>
              <w:t>Oui</w:t>
            </w:r>
          </w:p>
        </w:tc>
      </w:tr>
      <w:tr>
        <w:tc>
          <w:tcPr>
            <w:tcW w:type="dxa" w:w="2551"/>
          </w:tcPr>
          <w:p>
            <w:r/>
            <w:r>
              <w:rPr>
                <w:rFonts w:ascii="Calibri" w:hAnsi="Calibri" w:eastAsia="Calibri"/>
                <w:b w:val="0"/>
                <w:i w:val="0"/>
                <w:sz w:val="16"/>
              </w:rPr>
              <w:t>Export Word / PDF</w:t>
            </w:r>
          </w:p>
        </w:tc>
        <w:tc>
          <w:tcPr>
            <w:tcW w:type="dxa" w:w="1417"/>
          </w:tcPr>
          <w:p>
            <w:r/>
            <w:r>
              <w:rPr>
                <w:rFonts w:ascii="Calibri" w:hAnsi="Calibri" w:eastAsia="Calibri"/>
                <w:b w:val="0"/>
                <w:i w:val="0"/>
                <w:sz w:val="16"/>
              </w:rPr>
              <w:t>Word seul</w:t>
            </w:r>
          </w:p>
        </w:tc>
        <w:tc>
          <w:tcPr>
            <w:tcW w:type="dxa" w:w="1417"/>
          </w:tcPr>
          <w:p>
            <w:r/>
            <w:r>
              <w:rPr>
                <w:rFonts w:ascii="Calibri" w:hAnsi="Calibri" w:eastAsia="Calibri"/>
                <w:b w:val="0"/>
                <w:i w:val="0"/>
                <w:sz w:val="16"/>
              </w:rPr>
              <w:t>Word+PDF</w:t>
            </w:r>
          </w:p>
        </w:tc>
        <w:tc>
          <w:tcPr>
            <w:tcW w:type="dxa" w:w="1587"/>
          </w:tcPr>
          <w:p>
            <w:r/>
            <w:r>
              <w:rPr>
                <w:rFonts w:ascii="Calibri" w:hAnsi="Calibri" w:eastAsia="Calibri"/>
                <w:b w:val="0"/>
                <w:i w:val="0"/>
                <w:sz w:val="16"/>
              </w:rPr>
              <w:t>Word+PDF</w:t>
            </w:r>
          </w:p>
        </w:tc>
        <w:tc>
          <w:tcPr>
            <w:tcW w:type="dxa" w:w="1701"/>
          </w:tcPr>
          <w:p>
            <w:r/>
            <w:r>
              <w:rPr>
                <w:rFonts w:ascii="Calibri" w:hAnsi="Calibri" w:eastAsia="Calibri"/>
                <w:b w:val="0"/>
                <w:i w:val="0"/>
                <w:sz w:val="16"/>
              </w:rPr>
              <w:t>Word+PDF</w:t>
            </w:r>
          </w:p>
        </w:tc>
      </w:tr>
      <w:tr>
        <w:tc>
          <w:tcPr>
            <w:tcW w:type="dxa" w:w="2551"/>
            <w:shd w:fill="F0F4F8" w:val="clear"/>
          </w:tcPr>
          <w:p>
            <w:r/>
            <w:r>
              <w:rPr>
                <w:rFonts w:ascii="Calibri" w:hAnsi="Calibri" w:eastAsia="Calibri"/>
                <w:b w:val="0"/>
                <w:i w:val="0"/>
                <w:sz w:val="16"/>
              </w:rPr>
              <w:t>Anonymisation PII avant IA</w:t>
            </w:r>
          </w:p>
        </w:tc>
        <w:tc>
          <w:tcPr>
            <w:tcW w:type="dxa" w:w="1417"/>
            <w:shd w:fill="F0F4F8" w:val="clear"/>
          </w:tcPr>
          <w:p>
            <w:r/>
            <w:r>
              <w:rPr>
                <w:rFonts w:ascii="Calibri" w:hAnsi="Calibri" w:eastAsia="Calibri"/>
                <w:b w:val="0"/>
                <w:i w:val="0"/>
                <w:sz w:val="16"/>
              </w:rPr>
              <w:t>Non</w:t>
            </w:r>
          </w:p>
        </w:tc>
        <w:tc>
          <w:tcPr>
            <w:tcW w:type="dxa" w:w="1417"/>
            <w:shd w:fill="F0F4F8" w:val="clear"/>
          </w:tcPr>
          <w:p>
            <w:r/>
            <w:r>
              <w:rPr>
                <w:rFonts w:ascii="Calibri" w:hAnsi="Calibri" w:eastAsia="Calibri"/>
                <w:b w:val="0"/>
                <w:i w:val="0"/>
                <w:sz w:val="16"/>
              </w:rPr>
              <w:t>Oui</w:t>
            </w:r>
          </w:p>
        </w:tc>
        <w:tc>
          <w:tcPr>
            <w:tcW w:type="dxa" w:w="1587"/>
            <w:shd w:fill="F0F4F8" w:val="clear"/>
          </w:tcPr>
          <w:p>
            <w:r/>
            <w:r>
              <w:rPr>
                <w:rFonts w:ascii="Calibri" w:hAnsi="Calibri" w:eastAsia="Calibri"/>
                <w:b w:val="0"/>
                <w:i w:val="0"/>
                <w:sz w:val="16"/>
              </w:rPr>
              <w:t>Oui</w:t>
            </w:r>
          </w:p>
        </w:tc>
        <w:tc>
          <w:tcPr>
            <w:tcW w:type="dxa" w:w="1701"/>
            <w:shd w:fill="F0F4F8" w:val="clear"/>
          </w:tcPr>
          <w:p>
            <w:r/>
            <w:r>
              <w:rPr>
                <w:rFonts w:ascii="Calibri" w:hAnsi="Calibri" w:eastAsia="Calibri"/>
                <w:b w:val="0"/>
                <w:i w:val="0"/>
                <w:sz w:val="16"/>
              </w:rPr>
              <w:t>Oui</w:t>
            </w:r>
          </w:p>
        </w:tc>
      </w:tr>
      <w:tr>
        <w:tc>
          <w:tcPr>
            <w:tcW w:type="dxa" w:w="2551"/>
          </w:tcPr>
          <w:p>
            <w:r/>
            <w:r>
              <w:rPr>
                <w:rFonts w:ascii="Calibri" w:hAnsi="Calibri" w:eastAsia="Calibri"/>
                <w:b w:val="0"/>
                <w:i w:val="0"/>
                <w:sz w:val="16"/>
              </w:rPr>
              <w:t>Clé de barre depuis pièces</w:t>
            </w:r>
          </w:p>
        </w:tc>
        <w:tc>
          <w:tcPr>
            <w:tcW w:type="dxa" w:w="1417"/>
          </w:tcPr>
          <w:p>
            <w:r/>
            <w:r>
              <w:rPr>
                <w:rFonts w:ascii="Calibri" w:hAnsi="Calibri" w:eastAsia="Calibri"/>
                <w:b w:val="0"/>
                <w:i w:val="0"/>
                <w:sz w:val="16"/>
              </w:rPr>
              <w:t>Non</w:t>
            </w:r>
          </w:p>
        </w:tc>
        <w:tc>
          <w:tcPr>
            <w:tcW w:type="dxa" w:w="1417"/>
          </w:tcPr>
          <w:p>
            <w:r/>
            <w:r>
              <w:rPr>
                <w:rFonts w:ascii="Calibri" w:hAnsi="Calibri" w:eastAsia="Calibri"/>
                <w:b w:val="0"/>
                <w:i w:val="0"/>
                <w:sz w:val="16"/>
              </w:rPr>
              <w:t>Non</w:t>
            </w:r>
          </w:p>
        </w:tc>
        <w:tc>
          <w:tcPr>
            <w:tcW w:type="dxa" w:w="1587"/>
          </w:tcPr>
          <w:p>
            <w:r/>
            <w:r>
              <w:rPr>
                <w:rFonts w:ascii="Calibri" w:hAnsi="Calibri" w:eastAsia="Calibri"/>
                <w:b w:val="0"/>
                <w:i w:val="0"/>
                <w:sz w:val="16"/>
              </w:rPr>
              <w:t>Oui</w:t>
            </w:r>
          </w:p>
        </w:tc>
        <w:tc>
          <w:tcPr>
            <w:tcW w:type="dxa" w:w="1701"/>
          </w:tcPr>
          <w:p>
            <w:r/>
            <w:r>
              <w:rPr>
                <w:rFonts w:ascii="Calibri" w:hAnsi="Calibri" w:eastAsia="Calibri"/>
                <w:b w:val="0"/>
                <w:i w:val="0"/>
                <w:sz w:val="16"/>
              </w:rPr>
              <w:t>Oui</w:t>
            </w:r>
          </w:p>
        </w:tc>
      </w:tr>
      <w:tr>
        <w:tc>
          <w:tcPr>
            <w:tcW w:type="dxa" w:w="2551"/>
            <w:shd w:fill="F0F4F8" w:val="clear"/>
          </w:tcPr>
          <w:p>
            <w:r/>
            <w:r>
              <w:rPr>
                <w:rFonts w:ascii="Calibri" w:hAnsi="Calibri" w:eastAsia="Calibri"/>
                <w:b w:val="0"/>
                <w:i w:val="0"/>
                <w:sz w:val="16"/>
              </w:rPr>
              <w:t>Modèle IA premium (OpenAI)</w:t>
            </w:r>
          </w:p>
        </w:tc>
        <w:tc>
          <w:tcPr>
            <w:tcW w:type="dxa" w:w="1417"/>
            <w:shd w:fill="F0F4F8" w:val="clear"/>
          </w:tcPr>
          <w:p>
            <w:r/>
            <w:r>
              <w:rPr>
                <w:rFonts w:ascii="Calibri" w:hAnsi="Calibri" w:eastAsia="Calibri"/>
                <w:b w:val="0"/>
                <w:i w:val="0"/>
                <w:sz w:val="16"/>
              </w:rPr>
              <w:t>Non</w:t>
            </w:r>
          </w:p>
        </w:tc>
        <w:tc>
          <w:tcPr>
            <w:tcW w:type="dxa" w:w="1417"/>
            <w:shd w:fill="F0F4F8" w:val="clear"/>
          </w:tcPr>
          <w:p>
            <w:r/>
            <w:r>
              <w:rPr>
                <w:rFonts w:ascii="Calibri" w:hAnsi="Calibri" w:eastAsia="Calibri"/>
                <w:b w:val="0"/>
                <w:i w:val="0"/>
                <w:sz w:val="16"/>
              </w:rPr>
              <w:t>Non</w:t>
            </w:r>
          </w:p>
        </w:tc>
        <w:tc>
          <w:tcPr>
            <w:tcW w:type="dxa" w:w="1587"/>
            <w:shd w:fill="F0F4F8" w:val="clear"/>
          </w:tcPr>
          <w:p>
            <w:r/>
            <w:r>
              <w:rPr>
                <w:rFonts w:ascii="Calibri" w:hAnsi="Calibri" w:eastAsia="Calibri"/>
                <w:b w:val="0"/>
                <w:i w:val="0"/>
                <w:sz w:val="16"/>
              </w:rPr>
              <w:t>Oui</w:t>
            </w:r>
          </w:p>
        </w:tc>
        <w:tc>
          <w:tcPr>
            <w:tcW w:type="dxa" w:w="1701"/>
            <w:shd w:fill="F0F4F8" w:val="clear"/>
          </w:tcPr>
          <w:p>
            <w:r/>
            <w:r>
              <w:rPr>
                <w:rFonts w:ascii="Calibri" w:hAnsi="Calibri" w:eastAsia="Calibri"/>
                <w:b w:val="0"/>
                <w:i w:val="0"/>
                <w:sz w:val="16"/>
              </w:rPr>
              <w:t>Oui</w:t>
            </w:r>
          </w:p>
        </w:tc>
      </w:tr>
      <w:tr>
        <w:tc>
          <w:tcPr>
            <w:tcW w:type="dxa" w:w="2551"/>
          </w:tcPr>
          <w:p>
            <w:r/>
            <w:r>
              <w:rPr>
                <w:rFonts w:ascii="Calibri" w:hAnsi="Calibri" w:eastAsia="Calibri"/>
                <w:b w:val="0"/>
                <w:i w:val="0"/>
                <w:sz w:val="16"/>
              </w:rPr>
              <w:t>Branding cabinet (logo)</w:t>
            </w:r>
          </w:p>
        </w:tc>
        <w:tc>
          <w:tcPr>
            <w:tcW w:type="dxa" w:w="1417"/>
          </w:tcPr>
          <w:p>
            <w:r/>
            <w:r>
              <w:rPr>
                <w:rFonts w:ascii="Calibri" w:hAnsi="Calibri" w:eastAsia="Calibri"/>
                <w:b w:val="0"/>
                <w:i w:val="0"/>
                <w:sz w:val="16"/>
              </w:rPr>
              <w:t>Non</w:t>
            </w:r>
          </w:p>
        </w:tc>
        <w:tc>
          <w:tcPr>
            <w:tcW w:type="dxa" w:w="1417"/>
          </w:tcPr>
          <w:p>
            <w:r/>
            <w:r>
              <w:rPr>
                <w:rFonts w:ascii="Calibri" w:hAnsi="Calibri" w:eastAsia="Calibri"/>
                <w:b w:val="0"/>
                <w:i w:val="0"/>
                <w:sz w:val="16"/>
              </w:rPr>
              <w:t>Oui</w:t>
            </w:r>
          </w:p>
        </w:tc>
        <w:tc>
          <w:tcPr>
            <w:tcW w:type="dxa" w:w="1587"/>
          </w:tcPr>
          <w:p>
            <w:r/>
            <w:r>
              <w:rPr>
                <w:rFonts w:ascii="Calibri" w:hAnsi="Calibri" w:eastAsia="Calibri"/>
                <w:b w:val="0"/>
                <w:i w:val="0"/>
                <w:sz w:val="16"/>
              </w:rPr>
              <w:t>Oui</w:t>
            </w:r>
          </w:p>
        </w:tc>
        <w:tc>
          <w:tcPr>
            <w:tcW w:type="dxa" w:w="1701"/>
          </w:tcPr>
          <w:p>
            <w:r/>
            <w:r>
              <w:rPr>
                <w:rFonts w:ascii="Calibri" w:hAnsi="Calibri" w:eastAsia="Calibri"/>
                <w:b w:val="0"/>
                <w:i w:val="0"/>
                <w:sz w:val="16"/>
              </w:rPr>
              <w:t>Oui</w:t>
            </w:r>
          </w:p>
        </w:tc>
      </w:tr>
      <w:tr>
        <w:tc>
          <w:tcPr>
            <w:tcW w:type="dxa" w:w="2551"/>
            <w:shd w:fill="F0F4F8" w:val="clear"/>
          </w:tcPr>
          <w:p>
            <w:r/>
            <w:r>
              <w:rPr>
                <w:rFonts w:ascii="Calibri" w:hAnsi="Calibri" w:eastAsia="Calibri"/>
                <w:b w:val="0"/>
                <w:i w:val="0"/>
                <w:sz w:val="16"/>
              </w:rPr>
              <w:t>Support</w:t>
            </w:r>
          </w:p>
        </w:tc>
        <w:tc>
          <w:tcPr>
            <w:tcW w:type="dxa" w:w="1417"/>
            <w:shd w:fill="F0F4F8" w:val="clear"/>
          </w:tcPr>
          <w:p>
            <w:r/>
            <w:r>
              <w:rPr>
                <w:rFonts w:ascii="Calibri" w:hAnsi="Calibri" w:eastAsia="Calibri"/>
                <w:b w:val="0"/>
                <w:i w:val="0"/>
                <w:sz w:val="16"/>
              </w:rPr>
              <w:t>Communauté</w:t>
            </w:r>
          </w:p>
        </w:tc>
        <w:tc>
          <w:tcPr>
            <w:tcW w:type="dxa" w:w="1417"/>
            <w:shd w:fill="F0F4F8" w:val="clear"/>
          </w:tcPr>
          <w:p>
            <w:r/>
            <w:r>
              <w:rPr>
                <w:rFonts w:ascii="Calibri" w:hAnsi="Calibri" w:eastAsia="Calibri"/>
                <w:b w:val="0"/>
                <w:i w:val="0"/>
                <w:sz w:val="16"/>
              </w:rPr>
              <w:t>E-mail</w:t>
            </w:r>
          </w:p>
        </w:tc>
        <w:tc>
          <w:tcPr>
            <w:tcW w:type="dxa" w:w="1587"/>
            <w:shd w:fill="F0F4F8" w:val="clear"/>
          </w:tcPr>
          <w:p>
            <w:r/>
            <w:r>
              <w:rPr>
                <w:rFonts w:ascii="Calibri" w:hAnsi="Calibri" w:eastAsia="Calibri"/>
                <w:b w:val="0"/>
                <w:i w:val="0"/>
                <w:sz w:val="16"/>
              </w:rPr>
              <w:t>Prioritaire</w:t>
            </w:r>
          </w:p>
        </w:tc>
        <w:tc>
          <w:tcPr>
            <w:tcW w:type="dxa" w:w="1701"/>
            <w:shd w:fill="F0F4F8" w:val="clear"/>
          </w:tcPr>
          <w:p>
            <w:r/>
            <w:r>
              <w:rPr>
                <w:rFonts w:ascii="Calibri" w:hAnsi="Calibri" w:eastAsia="Calibri"/>
                <w:b w:val="0"/>
                <w:i w:val="0"/>
                <w:sz w:val="16"/>
              </w:rPr>
              <w:t>Dédié</w:t>
            </w:r>
          </w:p>
        </w:tc>
      </w:tr>
      <w:tr>
        <w:tc>
          <w:tcPr>
            <w:tcW w:type="dxa" w:w="2551"/>
          </w:tcPr>
          <w:p>
            <w:r/>
            <w:r>
              <w:rPr>
                <w:rFonts w:ascii="Calibri" w:hAnsi="Calibri" w:eastAsia="Calibri"/>
                <w:b w:val="0"/>
                <w:i w:val="0"/>
                <w:sz w:val="16"/>
              </w:rPr>
              <w:t>Essai Pro 14 jours</w:t>
            </w:r>
          </w:p>
        </w:tc>
        <w:tc>
          <w:tcPr>
            <w:tcW w:type="dxa" w:w="1417"/>
          </w:tcPr>
          <w:p>
            <w:r/>
            <w:r>
              <w:rPr>
                <w:rFonts w:ascii="Calibri" w:hAnsi="Calibri" w:eastAsia="Calibri"/>
                <w:b w:val="0"/>
                <w:i w:val="0"/>
                <w:sz w:val="16"/>
              </w:rPr>
              <w:t>À l'inscription</w:t>
            </w:r>
          </w:p>
        </w:tc>
        <w:tc>
          <w:tcPr>
            <w:tcW w:type="dxa" w:w="1417"/>
          </w:tcPr>
          <w:p>
            <w:r/>
            <w:r>
              <w:rPr>
                <w:rFonts w:ascii="Calibri" w:hAnsi="Calibri" w:eastAsia="Calibri"/>
                <w:b w:val="0"/>
                <w:i w:val="0"/>
                <w:sz w:val="16"/>
              </w:rPr>
              <w:t>—</w:t>
            </w:r>
          </w:p>
        </w:tc>
        <w:tc>
          <w:tcPr>
            <w:tcW w:type="dxa" w:w="1587"/>
          </w:tcPr>
          <w:p>
            <w:r/>
            <w:r>
              <w:rPr>
                <w:rFonts w:ascii="Calibri" w:hAnsi="Calibri" w:eastAsia="Calibri"/>
                <w:b w:val="0"/>
                <w:i w:val="0"/>
                <w:sz w:val="16"/>
              </w:rPr>
              <w:t>Inclus (cible essai)</w:t>
            </w:r>
          </w:p>
        </w:tc>
        <w:tc>
          <w:tcPr>
            <w:tcW w:type="dxa" w:w="1701"/>
          </w:tcPr>
          <w:p>
            <w:r/>
            <w:r>
              <w:rPr>
                <w:rFonts w:ascii="Calibri" w:hAnsi="Calibri" w:eastAsia="Calibri"/>
                <w:b w:val="0"/>
                <w:i w:val="0"/>
                <w:sz w:val="16"/>
              </w:rPr>
              <w:t>Sur devis</w:t>
            </w:r>
          </w:p>
        </w:tc>
      </w:tr>
    </w:tbl>
    <w:p/>
    <w:p>
      <w:pPr>
        <w:pStyle w:val="Heading2"/>
      </w:pPr>
      <w:r>
        <w:rPr>
          <w:color w:val="1A365D"/>
        </w:rPr>
        <w:t>3.2 Psychologie d'upsell (pourquoi ces chiffres)</w:t>
      </w:r>
    </w:p>
    <w:p>
      <w:pPr>
        <w:spacing w:after="120" w:line="240" w:lineRule="auto"/>
      </w:pPr>
      <w:r>
        <w:rPr>
          <w:rFonts w:ascii="Calibri" w:hAnsi="Calibri" w:eastAsia="Calibri"/>
          <w:b w:val="0"/>
          <w:i w:val="0"/>
          <w:sz w:val="22"/>
        </w:rPr>
        <w:t>• Free trop généreux tue la conversion : 5 plaidoiries + 0 assistant = frustration contrôlée.</w:t>
        <w:br/>
        <w:t>• Solo à 490 MAD aligne Kateb Essentiel / Litigo Starter — prix « sérieux » sans freiner.</w:t>
        <w:br/>
        <w:t>• Pro à 990 MAD (≈ 2× Solo) est le sweet spot cabinet : sièges + clé de barre + OpenAI — badge Recommandé.</w:t>
        <w:br/>
        <w:t>• Entreprise ancre le haut de gamme et rend Pro « raisonnable » (effet d'ancrage).</w:t>
      </w:r>
    </w:p>
    <w:p>
      <w:pPr>
        <w:pStyle w:val="Heading1"/>
      </w:pPr>
      <w:r>
        <w:rPr>
          <w:color w:val="1A365D"/>
        </w:rPr>
        <w:t>4. Parcours commercial produit (sans paiement réel pour l'instant)</w:t>
      </w:r>
    </w:p>
    <w:p>
      <w:pPr>
        <w:spacing w:after="120" w:line="240" w:lineRule="auto"/>
      </w:pPr>
      <w:r>
        <w:rPr>
          <w:rFonts w:ascii="Calibri" w:hAnsi="Calibri" w:eastAsia="Calibri"/>
          <w:b w:val="0"/>
          <w:i w:val="0"/>
          <w:sz w:val="22"/>
        </w:rPr>
        <w:t>1) Inscription cabinet → essai Cabinet Pro 14 jours automatique.</w:t>
        <w:br/>
        <w:t>2) Bannière jours restants + barre d'usage dans l'app.</w:t>
        <w:br/>
        <w:t>3) Page /tarifs publique + Paramètres → Abonnement.</w:t>
        <w:br/>
        <w:t>4) Bouton « Choisir ce plan » = bascule mock (provider=manual) — prêt pour brancher Stripe/CMI.</w:t>
        <w:br/>
        <w:t>5) Fin d'essai sans choix → bascule Découverte (Free) avec quotas réduits.</w:t>
        <w:br/>
        <w:t>6) Admin WebVoice peut créer / éditer / désactiver les plans et assigner un plan à un cabinet.</w:t>
      </w:r>
    </w:p>
    <w:p>
      <w:pPr>
        <w:pStyle w:val="Heading1"/>
      </w:pPr>
      <w:r>
        <w:rPr>
          <w:color w:val="1A365D"/>
        </w:rPr>
        <w:t>5. Roadmap technique liée à la rentabilité</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1A365D" w:val="clear"/>
          </w:tcPr>
          <w:p>
            <w:pPr>
              <w:jc w:val="center"/>
            </w:pPr>
            <w:r/>
            <w:r>
              <w:rPr>
                <w:rFonts w:ascii="Calibri" w:hAnsi="Calibri" w:eastAsia="Calibri"/>
                <w:b/>
                <w:i w:val="0"/>
                <w:color w:val="FFFFFF"/>
                <w:sz w:val="18"/>
              </w:rPr>
              <w:t>Phase</w:t>
            </w:r>
          </w:p>
        </w:tc>
        <w:tc>
          <w:tcPr>
            <w:tcW w:type="dxa" w:w="4535"/>
            <w:shd w:fill="1A365D" w:val="clear"/>
          </w:tcPr>
          <w:p>
            <w:pPr>
              <w:jc w:val="center"/>
            </w:pPr>
            <w:r/>
            <w:r>
              <w:rPr>
                <w:rFonts w:ascii="Calibri" w:hAnsi="Calibri" w:eastAsia="Calibri"/>
                <w:b/>
                <w:i w:val="0"/>
                <w:color w:val="FFFFFF"/>
                <w:sz w:val="18"/>
              </w:rPr>
              <w:t>Livrable</w:t>
            </w:r>
          </w:p>
        </w:tc>
        <w:tc>
          <w:tcPr>
            <w:tcW w:type="dxa" w:w="2268"/>
            <w:shd w:fill="1A365D" w:val="clear"/>
          </w:tcPr>
          <w:p>
            <w:pPr>
              <w:jc w:val="center"/>
            </w:pPr>
            <w:r/>
            <w:r>
              <w:rPr>
                <w:rFonts w:ascii="Calibri" w:hAnsi="Calibri" w:eastAsia="Calibri"/>
                <w:b/>
                <w:i w:val="0"/>
                <w:color w:val="FFFFFF"/>
                <w:sz w:val="18"/>
              </w:rPr>
              <w:t>Statut proposé</w:t>
            </w:r>
          </w:p>
        </w:tc>
      </w:tr>
      <w:tr>
        <w:tc>
          <w:tcPr>
            <w:tcW w:type="dxa" w:w="1701"/>
          </w:tcPr>
          <w:p>
            <w:r/>
            <w:r>
              <w:rPr>
                <w:rFonts w:ascii="Calibri" w:hAnsi="Calibri" w:eastAsia="Calibri"/>
                <w:b w:val="0"/>
                <w:i w:val="0"/>
                <w:sz w:val="16"/>
              </w:rPr>
              <w:t>P0 (maintenant)</w:t>
            </w:r>
          </w:p>
        </w:tc>
        <w:tc>
          <w:tcPr>
            <w:tcW w:type="dxa" w:w="4535"/>
          </w:tcPr>
          <w:p>
            <w:r/>
            <w:r>
              <w:rPr>
                <w:rFonts w:ascii="Calibri" w:hAnsi="Calibri" w:eastAsia="Calibri"/>
                <w:b w:val="0"/>
                <w:i w:val="0"/>
                <w:sz w:val="16"/>
              </w:rPr>
              <w:t>Plans, essai, quotas, UI billing, admin plans</w:t>
            </w:r>
          </w:p>
        </w:tc>
        <w:tc>
          <w:tcPr>
            <w:tcW w:type="dxa" w:w="2268"/>
          </w:tcPr>
          <w:p>
            <w:r/>
            <w:r>
              <w:rPr>
                <w:rFonts w:ascii="Calibri" w:hAnsi="Calibri" w:eastAsia="Calibri"/>
                <w:b w:val="0"/>
                <w:i w:val="0"/>
                <w:sz w:val="16"/>
              </w:rPr>
              <w:t>À livrer</w:t>
            </w:r>
          </w:p>
        </w:tc>
      </w:tr>
      <w:tr>
        <w:tc>
          <w:tcPr>
            <w:tcW w:type="dxa" w:w="1701"/>
            <w:shd w:fill="F0F4F8" w:val="clear"/>
          </w:tcPr>
          <w:p>
            <w:r/>
            <w:r>
              <w:rPr>
                <w:rFonts w:ascii="Calibri" w:hAnsi="Calibri" w:eastAsia="Calibri"/>
                <w:b w:val="0"/>
                <w:i w:val="0"/>
                <w:sz w:val="16"/>
              </w:rPr>
              <w:t>P0</w:t>
            </w:r>
          </w:p>
        </w:tc>
        <w:tc>
          <w:tcPr>
            <w:tcW w:type="dxa" w:w="4535"/>
            <w:shd w:fill="F0F4F8" w:val="clear"/>
          </w:tcPr>
          <w:p>
            <w:r/>
            <w:r>
              <w:rPr>
                <w:rFonts w:ascii="Calibri" w:hAnsi="Calibri" w:eastAsia="Calibri"/>
                <w:b w:val="0"/>
                <w:i w:val="0"/>
                <w:sz w:val="16"/>
              </w:rPr>
              <w:t>Provider OpenAI + masquage PII (noms → tokens)</w:t>
            </w:r>
          </w:p>
        </w:tc>
        <w:tc>
          <w:tcPr>
            <w:tcW w:type="dxa" w:w="2268"/>
            <w:shd w:fill="F0F4F8" w:val="clear"/>
          </w:tcPr>
          <w:p>
            <w:r/>
            <w:r>
              <w:rPr>
                <w:rFonts w:ascii="Calibri" w:hAnsi="Calibri" w:eastAsia="Calibri"/>
                <w:b w:val="0"/>
                <w:i w:val="0"/>
                <w:sz w:val="16"/>
              </w:rPr>
              <w:t>À livrer (socle)</w:t>
            </w:r>
          </w:p>
        </w:tc>
      </w:tr>
      <w:tr>
        <w:tc>
          <w:tcPr>
            <w:tcW w:type="dxa" w:w="1701"/>
          </w:tcPr>
          <w:p>
            <w:r/>
            <w:r>
              <w:rPr>
                <w:rFonts w:ascii="Calibri" w:hAnsi="Calibri" w:eastAsia="Calibri"/>
                <w:b w:val="0"/>
                <w:i w:val="0"/>
                <w:sz w:val="16"/>
              </w:rPr>
              <w:t>P1</w:t>
            </w:r>
          </w:p>
        </w:tc>
        <w:tc>
          <w:tcPr>
            <w:tcW w:type="dxa" w:w="4535"/>
          </w:tcPr>
          <w:p>
            <w:r/>
            <w:r>
              <w:rPr>
                <w:rFonts w:ascii="Calibri" w:hAnsi="Calibri" w:eastAsia="Calibri"/>
                <w:b w:val="0"/>
                <w:i w:val="0"/>
                <w:sz w:val="16"/>
              </w:rPr>
              <w:t>Clé de barre IA à partir des pièces du dossier</w:t>
            </w:r>
          </w:p>
        </w:tc>
        <w:tc>
          <w:tcPr>
            <w:tcW w:type="dxa" w:w="2268"/>
          </w:tcPr>
          <w:p>
            <w:r/>
            <w:r>
              <w:rPr>
                <w:rFonts w:ascii="Calibri" w:hAnsi="Calibri" w:eastAsia="Calibri"/>
                <w:b w:val="0"/>
                <w:i w:val="0"/>
                <w:sz w:val="16"/>
              </w:rPr>
              <w:t>Socle + itération</w:t>
            </w:r>
          </w:p>
        </w:tc>
      </w:tr>
      <w:tr>
        <w:tc>
          <w:tcPr>
            <w:tcW w:type="dxa" w:w="1701"/>
            <w:shd w:fill="F0F4F8" w:val="clear"/>
          </w:tcPr>
          <w:p>
            <w:r/>
            <w:r>
              <w:rPr>
                <w:rFonts w:ascii="Calibri" w:hAnsi="Calibri" w:eastAsia="Calibri"/>
                <w:b w:val="0"/>
                <w:i w:val="0"/>
                <w:sz w:val="16"/>
              </w:rPr>
              <w:t>P1</w:t>
            </w:r>
          </w:p>
        </w:tc>
        <w:tc>
          <w:tcPr>
            <w:tcW w:type="dxa" w:w="4535"/>
            <w:shd w:fill="F0F4F8" w:val="clear"/>
          </w:tcPr>
          <w:p>
            <w:r/>
            <w:r>
              <w:rPr>
                <w:rFonts w:ascii="Calibri" w:hAnsi="Calibri" w:eastAsia="Calibri"/>
                <w:b w:val="0"/>
                <w:i w:val="0"/>
                <w:sz w:val="16"/>
              </w:rPr>
              <w:t>Paiement réel (Stripe Checkout ou CMI Maroc)</w:t>
            </w:r>
          </w:p>
        </w:tc>
        <w:tc>
          <w:tcPr>
            <w:tcW w:type="dxa" w:w="2268"/>
            <w:shd w:fill="F0F4F8" w:val="clear"/>
          </w:tcPr>
          <w:p>
            <w:r/>
            <w:r>
              <w:rPr>
                <w:rFonts w:ascii="Calibri" w:hAnsi="Calibri" w:eastAsia="Calibri"/>
                <w:b w:val="0"/>
                <w:i w:val="0"/>
                <w:sz w:val="16"/>
              </w:rPr>
              <w:t>Préparé, non branché</w:t>
            </w:r>
          </w:p>
        </w:tc>
      </w:tr>
      <w:tr>
        <w:tc>
          <w:tcPr>
            <w:tcW w:type="dxa" w:w="1701"/>
          </w:tcPr>
          <w:p>
            <w:r/>
            <w:r>
              <w:rPr>
                <w:rFonts w:ascii="Calibri" w:hAnsi="Calibri" w:eastAsia="Calibri"/>
                <w:b w:val="0"/>
                <w:i w:val="0"/>
                <w:sz w:val="16"/>
              </w:rPr>
              <w:t>P2</w:t>
            </w:r>
          </w:p>
        </w:tc>
        <w:tc>
          <w:tcPr>
            <w:tcW w:type="dxa" w:w="4535"/>
          </w:tcPr>
          <w:p>
            <w:r/>
            <w:r>
              <w:rPr>
                <w:rFonts w:ascii="Calibri" w:hAnsi="Calibri" w:eastAsia="Calibri"/>
                <w:b w:val="0"/>
                <w:i w:val="0"/>
                <w:sz w:val="16"/>
              </w:rPr>
              <w:t>Factures PDF, TVA, renouvellement auto, webhooks</w:t>
            </w:r>
          </w:p>
        </w:tc>
        <w:tc>
          <w:tcPr>
            <w:tcW w:type="dxa" w:w="2268"/>
          </w:tcPr>
          <w:p>
            <w:r/>
            <w:r>
              <w:rPr>
                <w:rFonts w:ascii="Calibri" w:hAnsi="Calibri" w:eastAsia="Calibri"/>
                <w:b w:val="0"/>
                <w:i w:val="0"/>
                <w:sz w:val="16"/>
              </w:rPr>
              <w:t>Après validation WEBVOICE</w:t>
            </w:r>
          </w:p>
        </w:tc>
      </w:tr>
    </w:tbl>
    <w:p/>
    <w:p>
      <w:pPr>
        <w:pStyle w:val="Heading1"/>
      </w:pPr>
      <w:r>
        <w:rPr>
          <w:color w:val="1A365D"/>
        </w:rPr>
        <w:t>6. Projection revenus (hypothèse prudente)</w:t>
      </w:r>
    </w:p>
    <w:p>
      <w:pPr>
        <w:spacing w:after="120" w:line="240" w:lineRule="auto"/>
      </w:pPr>
      <w:r>
        <w:rPr>
          <w:rFonts w:ascii="Calibri" w:hAnsi="Calibri" w:eastAsia="Calibri"/>
          <w:b w:val="0"/>
          <w:i w:val="0"/>
          <w:sz w:val="20"/>
        </w:rPr>
        <w:t>Hypothèse année 1 : 40 cabinets payants (25 Solo + 12 Pro + 3 Entreprise) après acquisition pilotée WEBVOICE / barreaux partenaires.</w:t>
        <w:br/>
        <w:t>MRR ≈ 25×490 + 12×990 + 3×2490 = 12 250 + 11 880 + 7 470 = 31 600 MAD/mois (≈ 379 kMAD ARR) avant coûts LLM.</w:t>
        <w:br/>
        <w:t>Coût IA (ordre de grandeur) : 5–15 % du MRR si quotas respectés et anonymisation + cache.</w:t>
        <w:br/>
        <w:t>Point mort : ~15–20 Solo équivalents si coûts infra VPS + LLM maîtrisés.</w:t>
      </w:r>
    </w:p>
    <w:p>
      <w:pPr>
        <w:pStyle w:val="Heading1"/>
      </w:pPr>
      <w:r>
        <w:rPr>
          <w:color w:val="1A365D"/>
        </w:rPr>
        <w:t>7. Décisions demandées à l'encadrement WEBVOICE</w:t>
      </w:r>
    </w:p>
    <w:p>
      <w:pPr>
        <w:spacing w:after="120" w:line="240" w:lineRule="auto"/>
      </w:pPr>
      <w:r>
        <w:rPr>
          <w:rFonts w:ascii="Calibri" w:hAnsi="Calibri" w:eastAsia="Calibri"/>
          <w:b w:val="0"/>
          <w:i w:val="0"/>
          <w:sz w:val="22"/>
        </w:rPr>
        <w:t>1. Valider (ou ajuster) les 4 prix et les quotas sièges / plaidoiries.</w:t>
        <w:br/>
        <w:t>2. Confirmer l'essai Pro 14 jours à l'inscription.</w:t>
        <w:br/>
        <w:t>3. Fournir la clé API OpenAI / ChatGPT Pro pour le plan Pro+.</w:t>
        <w:br/>
        <w:t>4. Choisir le PSP phase 2 : Stripe international vs CMI / PayZone Maroc.</w:t>
        <w:br/>
        <w:t>5. Autoriser le mode mock « Choisir un plan » en production jusqu'au go-live paiement.</w:t>
      </w:r>
    </w:p>
    <w:p>
      <w:pPr>
        <w:pStyle w:val="Heading1"/>
      </w:pPr>
      <w:r>
        <w:rPr>
          <w:color w:val="1A365D"/>
        </w:rPr>
        <w:t>8. Conclusion</w:t>
      </w:r>
    </w:p>
    <w:p>
      <w:pPr>
        <w:spacing w:after="120" w:line="240" w:lineRule="auto"/>
      </w:pPr>
      <w:r>
        <w:rPr>
          <w:rFonts w:ascii="Calibri" w:hAnsi="Calibri" w:eastAsia="Calibri"/>
          <w:b w:val="0"/>
          <w:i w:val="0"/>
          <w:sz w:val="22"/>
        </w:rPr>
        <w:t>Cette grille place LexHub dans la fourchette LegalTech marocaine tout en différenciant par la plaidoirie vocale, la conformité de forme marocaine, la confidentialité (PII) et la clé de barre. L'implémentation produit suit immédiatement ce document : environnement billing opérationnel, sans encaissement réel.</w:t>
      </w:r>
    </w:p>
    <w:sectPr w:rsidR="00FC693F" w:rsidRPr="0006063C" w:rsidSect="00034616">
      <w:head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sz w:val="16"/>
      </w:rPr>
      <w:t>LexHub — Proposition commerciale — WEBVOICE / ENSA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