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40" w:before="0" w:line="240" w:lineRule="auto"/>
        <w:jc w:val="center"/>
      </w:pPr>
      <w:r>
        <w:rPr>
          <w:rFonts w:ascii="Calibri" w:hAnsi="Calibri" w:eastAsia="Calibri"/>
          <w:b/>
          <w:i w:val="0"/>
          <w:sz w:val="24"/>
        </w:rPr>
        <w:t>LexHub / Avocat AI Assistance</w:t>
      </w:r>
    </w:p>
    <w:p>
      <w:pPr>
        <w:spacing w:after="40" w:before="0" w:line="240" w:lineRule="auto"/>
        <w:jc w:val="center"/>
      </w:pPr>
      <w:r>
        <w:rPr>
          <w:rFonts w:ascii="Calibri" w:hAnsi="Calibri" w:eastAsia="Calibri"/>
          <w:b w:val="0"/>
          <w:i w:val="0"/>
          <w:sz w:val="20"/>
        </w:rPr>
        <w:t>Stage PFA — WEBVOICE — Encadrant entreprise : Hatim Benhaddou</w:t>
      </w:r>
    </w:p>
    <w:p>
      <w:pPr>
        <w:spacing w:after="240" w:before="0" w:line="240" w:lineRule="auto"/>
        <w:jc w:val="center"/>
      </w:pPr>
      <w:r>
        <w:rPr>
          <w:rFonts w:ascii="Calibri" w:hAnsi="Calibri" w:eastAsia="Calibri"/>
          <w:b w:val="0"/>
          <w:i w:val="0"/>
          <w:sz w:val="20"/>
        </w:rPr>
        <w:t>Stagiaire : Douae EL ASSAL</w:t>
      </w:r>
    </w:p>
    <w:p>
      <w:pPr>
        <w:spacing w:after="80" w:before="0" w:line="240" w:lineRule="auto"/>
        <w:jc w:val="center"/>
      </w:pPr>
      <w:r>
        <w:rPr>
          <w:rFonts w:ascii="Calibri" w:hAnsi="Calibri" w:eastAsia="Calibri"/>
          <w:b/>
          <w:i w:val="0"/>
          <w:sz w:val="32"/>
        </w:rPr>
        <w:t>Liste exhaustive des diagrammes UML nécessaires au rapport PFA LexHub</w:t>
      </w:r>
    </w:p>
    <w:p>
      <w:pPr>
        <w:spacing w:after="280" w:before="0" w:line="240" w:lineRule="auto"/>
        <w:jc w:val="center"/>
      </w:pPr>
      <w:r>
        <w:rPr>
          <w:rFonts w:ascii="Calibri" w:hAnsi="Calibri" w:eastAsia="Calibri"/>
          <w:b w:val="0"/>
          <w:i/>
          <w:sz w:val="20"/>
        </w:rPr>
        <w:t>Cartographie UML 2.x — priorisation et suggestions de contenu pour LexHub</w:t>
      </w:r>
    </w:p>
    <w:p>
      <w:pPr>
        <w:pStyle w:val="Heading1"/>
      </w:pPr>
      <w:r>
        <w:rPr>
          <w:color w:val="1A365D"/>
        </w:rPr>
        <w:t>1. Objet du document</w:t>
      </w:r>
    </w:p>
    <w:p>
      <w:pPr>
        <w:spacing w:after="120" w:before="0" w:line="240" w:lineRule="auto"/>
      </w:pPr>
      <w:r>
        <w:rPr>
          <w:rFonts w:ascii="Calibri" w:hAnsi="Calibri" w:eastAsia="Calibri"/>
          <w:b w:val="0"/>
          <w:i w:val="0"/>
          <w:sz w:val="22"/>
        </w:rPr>
        <w:t>Ce document dresse la liste des types de diagrammes UML pertinents pour le rapport de Projet de Fin d'Année (PFA) LexHub. Pour chaque type : définition, utilité générale, mapping concret LexHub, priorité pour le rapport, et suggestion de contenu.</w:t>
      </w:r>
    </w:p>
    <w:p>
      <w:pPr>
        <w:spacing w:after="120" w:before="0" w:line="240" w:lineRule="auto"/>
      </w:pPr>
      <w:r>
        <w:rPr>
          <w:rFonts w:ascii="Calibri" w:hAnsi="Calibri" w:eastAsia="Calibri"/>
          <w:b w:val="0"/>
          <w:i w:val="0"/>
          <w:sz w:val="22"/>
        </w:rPr>
        <w:t>Référentiel : UML 2.x (OMG). LexHub = SaaS cabinet d'avocats (Next.js, FastAPI, Postgres, Redis, MinIO/S3, STT cloud, déploiement VPS lexhub.space).</w:t>
      </w:r>
    </w:p>
    <w:p>
      <w:pPr>
        <w:pStyle w:val="Heading1"/>
      </w:pPr>
      <w:r>
        <w:rPr>
          <w:color w:val="1A365D"/>
        </w:rPr>
        <w:t>2. Tableau de synthèse des types UML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994"/>
        <w:gridCol w:w="1994"/>
        <w:gridCol w:w="1994"/>
        <w:gridCol w:w="1994"/>
        <w:gridCol w:w="1994"/>
      </w:tblGrid>
      <w:tr>
        <w:tc>
          <w:tcPr>
            <w:tcW w:type="dxa" w:w="1814"/>
            <w:shd w:fill="1A365D" w:val="clear"/>
          </w:tcPr>
          <w:p>
            <w:pPr>
              <w:jc w:val="center"/>
            </w:pPr>
            <w:r/>
            <w:r>
              <w:rPr>
                <w:rFonts w:ascii="Calibri" w:hAnsi="Calibri" w:eastAsia="Calibri"/>
                <w:b/>
                <w:i w:val="0"/>
                <w:color w:val="FFFFFF"/>
                <w:sz w:val="20"/>
              </w:rPr>
              <w:t>Nom UML (FR / EN)</w:t>
            </w:r>
          </w:p>
        </w:tc>
        <w:tc>
          <w:tcPr>
            <w:tcW w:type="dxa" w:w="1984"/>
            <w:shd w:fill="1A365D" w:val="clear"/>
          </w:tcPr>
          <w:p>
            <w:pPr>
              <w:jc w:val="center"/>
            </w:pPr>
            <w:r/>
            <w:r>
              <w:rPr>
                <w:rFonts w:ascii="Calibri" w:hAnsi="Calibri" w:eastAsia="Calibri"/>
                <w:b/>
                <w:i w:val="0"/>
                <w:color w:val="FFFFFF"/>
                <w:sz w:val="20"/>
              </w:rPr>
              <w:t>À quoi ça sert</w:t>
            </w:r>
          </w:p>
        </w:tc>
        <w:tc>
          <w:tcPr>
            <w:tcW w:type="dxa" w:w="2268"/>
            <w:shd w:fill="1A365D" w:val="clear"/>
          </w:tcPr>
          <w:p>
            <w:pPr>
              <w:jc w:val="center"/>
            </w:pPr>
            <w:r/>
            <w:r>
              <w:rPr>
                <w:rFonts w:ascii="Calibri" w:hAnsi="Calibri" w:eastAsia="Calibri"/>
                <w:b/>
                <w:i w:val="0"/>
                <w:color w:val="FFFFFF"/>
                <w:sz w:val="20"/>
              </w:rPr>
              <w:t>Pourquoi utile pour LexHub</w:t>
            </w:r>
          </w:p>
        </w:tc>
        <w:tc>
          <w:tcPr>
            <w:tcW w:type="dxa" w:w="1247"/>
            <w:shd w:fill="1A365D" w:val="clear"/>
          </w:tcPr>
          <w:p>
            <w:pPr>
              <w:jc w:val="center"/>
            </w:pPr>
            <w:r/>
            <w:r>
              <w:rPr>
                <w:rFonts w:ascii="Calibri" w:hAnsi="Calibri" w:eastAsia="Calibri"/>
                <w:b/>
                <w:i w:val="0"/>
                <w:color w:val="FFFFFF"/>
                <w:sz w:val="20"/>
              </w:rPr>
              <w:t>Priorité</w:t>
            </w:r>
          </w:p>
        </w:tc>
        <w:tc>
          <w:tcPr>
            <w:tcW w:type="dxa" w:w="1701"/>
            <w:shd w:fill="1A365D" w:val="clear"/>
          </w:tcPr>
          <w:p>
            <w:pPr>
              <w:jc w:val="center"/>
            </w:pPr>
            <w:r/>
            <w:r>
              <w:rPr>
                <w:rFonts w:ascii="Calibri" w:hAnsi="Calibri" w:eastAsia="Calibri"/>
                <w:b/>
                <w:i w:val="0"/>
                <w:color w:val="FFFFFF"/>
                <w:sz w:val="20"/>
              </w:rPr>
              <w:t>Suggestion contenu</w:t>
            </w:r>
          </w:p>
        </w:tc>
      </w:tr>
      <w:tr>
        <w:tc>
          <w:tcPr>
            <w:tcW w:type="dxa" w:w="1814"/>
          </w:tcPr>
          <w:p>
            <w:r/>
            <w:r>
              <w:rPr>
                <w:rFonts w:ascii="Calibri" w:hAnsi="Calibri" w:eastAsia="Calibri"/>
                <w:b w:val="0"/>
                <w:i w:val="0"/>
                <w:sz w:val="18"/>
              </w:rPr>
              <w:t>Cas d'utilisation</w:t>
              <w:br/>
              <w:t>(Use Case)</w:t>
            </w:r>
          </w:p>
        </w:tc>
        <w:tc>
          <w:tcPr>
            <w:tcW w:type="dxa" w:w="1984"/>
          </w:tcPr>
          <w:p>
            <w:r/>
            <w:r>
              <w:rPr>
                <w:rFonts w:ascii="Calibri" w:hAnsi="Calibri" w:eastAsia="Calibri"/>
                <w:b w:val="0"/>
                <w:i w:val="0"/>
                <w:sz w:val="18"/>
              </w:rPr>
              <w:t>Capturer les fonctionnalités vues des acteurs et les frontières du système.</w:t>
            </w:r>
          </w:p>
        </w:tc>
        <w:tc>
          <w:tcPr>
            <w:tcW w:type="dxa" w:w="2268"/>
          </w:tcPr>
          <w:p>
            <w:r/>
            <w:r>
              <w:rPr>
                <w:rFonts w:ascii="Calibri" w:hAnsi="Calibri" w:eastAsia="Calibri"/>
                <w:b w:val="0"/>
                <w:i w:val="0"/>
                <w:sz w:val="18"/>
              </w:rPr>
              <w:t>Acteurs : avocat, assistant, admin cabinet, admin plateforme. UC : inscription, dictée, validation, assignation, export.</w:t>
            </w:r>
          </w:p>
        </w:tc>
        <w:tc>
          <w:tcPr>
            <w:tcW w:type="dxa" w:w="1247"/>
          </w:tcPr>
          <w:p>
            <w:r/>
            <w:r>
              <w:rPr>
                <w:rFonts w:ascii="Calibri" w:hAnsi="Calibri" w:eastAsia="Calibri"/>
                <w:b w:val="0"/>
                <w:i w:val="0"/>
                <w:sz w:val="18"/>
              </w:rPr>
              <w:t>Obligatoire</w:t>
            </w:r>
          </w:p>
        </w:tc>
        <w:tc>
          <w:tcPr>
            <w:tcW w:type="dxa" w:w="1701"/>
          </w:tcPr>
          <w:p>
            <w:r/>
            <w:r>
              <w:rPr>
                <w:rFonts w:ascii="Calibri" w:hAnsi="Calibri" w:eastAsia="Calibri"/>
                <w:b w:val="0"/>
                <w:i w:val="0"/>
                <w:sz w:val="18"/>
              </w:rPr>
              <w:t>UC global + zoom atelier plaidoirie</w:t>
            </w:r>
          </w:p>
        </w:tc>
      </w:tr>
      <w:tr>
        <w:tc>
          <w:tcPr>
            <w:tcW w:type="dxa" w:w="1814"/>
            <w:shd w:fill="F0F4F8" w:val="clear"/>
          </w:tcPr>
          <w:p>
            <w:r/>
            <w:r>
              <w:rPr>
                <w:rFonts w:ascii="Calibri" w:hAnsi="Calibri" w:eastAsia="Calibri"/>
                <w:b w:val="0"/>
                <w:i w:val="0"/>
                <w:sz w:val="18"/>
              </w:rPr>
              <w:t>Classes</w:t>
              <w:br/>
              <w:t>(Class)</w:t>
            </w:r>
          </w:p>
        </w:tc>
        <w:tc>
          <w:tcPr>
            <w:tcW w:type="dxa" w:w="1984"/>
            <w:shd w:fill="F0F4F8" w:val="clear"/>
          </w:tcPr>
          <w:p>
            <w:r/>
            <w:r>
              <w:rPr>
                <w:rFonts w:ascii="Calibri" w:hAnsi="Calibri" w:eastAsia="Calibri"/>
                <w:b w:val="0"/>
                <w:i w:val="0"/>
                <w:sz w:val="18"/>
              </w:rPr>
              <w:t>Modéliser entités, attributs, associations et cardinalités.</w:t>
            </w:r>
          </w:p>
        </w:tc>
        <w:tc>
          <w:tcPr>
            <w:tcW w:type="dxa" w:w="2268"/>
            <w:shd w:fill="F0F4F8" w:val="clear"/>
          </w:tcPr>
          <w:p>
            <w:r/>
            <w:r>
              <w:rPr>
                <w:rFonts w:ascii="Calibri" w:hAnsi="Calibri" w:eastAsia="Calibri"/>
                <w:b w:val="0"/>
                <w:i w:val="0"/>
                <w:sz w:val="18"/>
              </w:rPr>
              <w:t>Case, Document, PleaDraft, User, Cabinet, Notification, Invite, ActivityArchive.</w:t>
            </w:r>
          </w:p>
        </w:tc>
        <w:tc>
          <w:tcPr>
            <w:tcW w:type="dxa" w:w="1247"/>
            <w:shd w:fill="F0F4F8" w:val="clear"/>
          </w:tcPr>
          <w:p>
            <w:r/>
            <w:r>
              <w:rPr>
                <w:rFonts w:ascii="Calibri" w:hAnsi="Calibri" w:eastAsia="Calibri"/>
                <w:b w:val="0"/>
                <w:i w:val="0"/>
                <w:sz w:val="18"/>
              </w:rPr>
              <w:t>Obligatoire</w:t>
            </w:r>
          </w:p>
        </w:tc>
        <w:tc>
          <w:tcPr>
            <w:tcW w:type="dxa" w:w="1701"/>
            <w:shd w:fill="F0F4F8" w:val="clear"/>
          </w:tcPr>
          <w:p>
            <w:r/>
            <w:r>
              <w:rPr>
                <w:rFonts w:ascii="Calibri" w:hAnsi="Calibri" w:eastAsia="Calibri"/>
                <w:b w:val="0"/>
                <w:i w:val="0"/>
                <w:sz w:val="18"/>
              </w:rPr>
              <w:t>Modèle de données métier + liens tenant</w:t>
            </w:r>
          </w:p>
        </w:tc>
      </w:tr>
      <w:tr>
        <w:tc>
          <w:tcPr>
            <w:tcW w:type="dxa" w:w="1814"/>
          </w:tcPr>
          <w:p>
            <w:r/>
            <w:r>
              <w:rPr>
                <w:rFonts w:ascii="Calibri" w:hAnsi="Calibri" w:eastAsia="Calibri"/>
                <w:b w:val="0"/>
                <w:i w:val="0"/>
                <w:sz w:val="18"/>
              </w:rPr>
              <w:t>Séquence</w:t>
              <w:br/>
              <w:t>(Sequence)</w:t>
            </w:r>
          </w:p>
        </w:tc>
        <w:tc>
          <w:tcPr>
            <w:tcW w:type="dxa" w:w="1984"/>
          </w:tcPr>
          <w:p>
            <w:r/>
            <w:r>
              <w:rPr>
                <w:rFonts w:ascii="Calibri" w:hAnsi="Calibri" w:eastAsia="Calibri"/>
                <w:b w:val="0"/>
                <w:i w:val="0"/>
                <w:sz w:val="18"/>
              </w:rPr>
              <w:t>Ordonner les messages entre objets/lifelines dans le temps.</w:t>
            </w:r>
          </w:p>
        </w:tc>
        <w:tc>
          <w:tcPr>
            <w:tcW w:type="dxa" w:w="2268"/>
          </w:tcPr>
          <w:p>
            <w:r/>
            <w:r>
              <w:rPr>
                <w:rFonts w:ascii="Calibri" w:hAnsi="Calibri" w:eastAsia="Calibri"/>
                <w:b w:val="0"/>
                <w:i w:val="0"/>
                <w:sz w:val="18"/>
              </w:rPr>
              <w:t>OTP, dictée STT+fusḥā, validation/assignation, join cabinet, OCR document.</w:t>
            </w:r>
          </w:p>
        </w:tc>
        <w:tc>
          <w:tcPr>
            <w:tcW w:type="dxa" w:w="1247"/>
          </w:tcPr>
          <w:p>
            <w:r/>
            <w:r>
              <w:rPr>
                <w:rFonts w:ascii="Calibri" w:hAnsi="Calibri" w:eastAsia="Calibri"/>
                <w:b w:val="0"/>
                <w:i w:val="0"/>
                <w:sz w:val="18"/>
              </w:rPr>
              <w:t>Obligatoire</w:t>
            </w:r>
          </w:p>
        </w:tc>
        <w:tc>
          <w:tcPr>
            <w:tcW w:type="dxa" w:w="1701"/>
          </w:tcPr>
          <w:p>
            <w:r/>
            <w:r>
              <w:rPr>
                <w:rFonts w:ascii="Calibri" w:hAnsi="Calibri" w:eastAsia="Calibri"/>
                <w:b w:val="0"/>
                <w:i w:val="0"/>
                <w:sz w:val="18"/>
              </w:rPr>
              <w:t>3–5 séquences cœur métier</w:t>
            </w:r>
          </w:p>
        </w:tc>
      </w:tr>
      <w:tr>
        <w:tc>
          <w:tcPr>
            <w:tcW w:type="dxa" w:w="1814"/>
            <w:shd w:fill="F0F4F8" w:val="clear"/>
          </w:tcPr>
          <w:p>
            <w:r/>
            <w:r>
              <w:rPr>
                <w:rFonts w:ascii="Calibri" w:hAnsi="Calibri" w:eastAsia="Calibri"/>
                <w:b w:val="0"/>
                <w:i w:val="0"/>
                <w:sz w:val="18"/>
              </w:rPr>
              <w:t>Activité</w:t>
              <w:br/>
              <w:t>(Activity)</w:t>
            </w:r>
          </w:p>
        </w:tc>
        <w:tc>
          <w:tcPr>
            <w:tcW w:type="dxa" w:w="1984"/>
            <w:shd w:fill="F0F4F8" w:val="clear"/>
          </w:tcPr>
          <w:p>
            <w:r/>
            <w:r>
              <w:rPr>
                <w:rFonts w:ascii="Calibri" w:hAnsi="Calibri" w:eastAsia="Calibri"/>
                <w:b w:val="0"/>
                <w:i w:val="0"/>
                <w:sz w:val="18"/>
              </w:rPr>
              <w:t>Flux de contrôle / workflow (décisions, parallèles, fin).</w:t>
            </w:r>
          </w:p>
        </w:tc>
        <w:tc>
          <w:tcPr>
            <w:tcW w:type="dxa" w:w="2268"/>
            <w:shd w:fill="F0F4F8" w:val="clear"/>
          </w:tcPr>
          <w:p>
            <w:r/>
            <w:r>
              <w:rPr>
                <w:rFonts w:ascii="Calibri" w:hAnsi="Calibri" w:eastAsia="Calibri"/>
                <w:b w:val="0"/>
                <w:i w:val="0"/>
                <w:sz w:val="18"/>
              </w:rPr>
              <w:t>Pipeline plaidoirie 5 étapes ; pipeline document (upload→OCR→synthèse).</w:t>
            </w:r>
          </w:p>
        </w:tc>
        <w:tc>
          <w:tcPr>
            <w:tcW w:type="dxa" w:w="1247"/>
            <w:shd w:fill="F0F4F8" w:val="clear"/>
          </w:tcPr>
          <w:p>
            <w:r/>
            <w:r>
              <w:rPr>
                <w:rFonts w:ascii="Calibri" w:hAnsi="Calibri" w:eastAsia="Calibri"/>
                <w:b w:val="0"/>
                <w:i w:val="0"/>
                <w:sz w:val="18"/>
              </w:rPr>
              <w:t>Obligatoire</w:t>
            </w:r>
          </w:p>
        </w:tc>
        <w:tc>
          <w:tcPr>
            <w:tcW w:type="dxa" w:w="1701"/>
            <w:shd w:fill="F0F4F8" w:val="clear"/>
          </w:tcPr>
          <w:p>
            <w:r/>
            <w:r>
              <w:rPr>
                <w:rFonts w:ascii="Calibri" w:hAnsi="Calibri" w:eastAsia="Calibri"/>
                <w:b w:val="0"/>
                <w:i w:val="0"/>
                <w:sz w:val="18"/>
              </w:rPr>
              <w:t>1 activité plaidoirie + 1 OCR</w:t>
            </w:r>
          </w:p>
        </w:tc>
      </w:tr>
      <w:tr>
        <w:tc>
          <w:tcPr>
            <w:tcW w:type="dxa" w:w="1814"/>
          </w:tcPr>
          <w:p>
            <w:r/>
            <w:r>
              <w:rPr>
                <w:rFonts w:ascii="Calibri" w:hAnsi="Calibri" w:eastAsia="Calibri"/>
                <w:b w:val="0"/>
                <w:i w:val="0"/>
                <w:sz w:val="18"/>
              </w:rPr>
              <w:t>États</w:t>
              <w:br/>
              <w:t>(State Machine)</w:t>
            </w:r>
          </w:p>
        </w:tc>
        <w:tc>
          <w:tcPr>
            <w:tcW w:type="dxa" w:w="1984"/>
          </w:tcPr>
          <w:p>
            <w:r/>
            <w:r>
              <w:rPr>
                <w:rFonts w:ascii="Calibri" w:hAnsi="Calibri" w:eastAsia="Calibri"/>
                <w:b w:val="0"/>
                <w:i w:val="0"/>
                <w:sz w:val="18"/>
              </w:rPr>
              <w:t>Cycle de vie d'un objet via états et transitions.</w:t>
            </w:r>
          </w:p>
        </w:tc>
        <w:tc>
          <w:tcPr>
            <w:tcW w:type="dxa" w:w="2268"/>
          </w:tcPr>
          <w:p>
            <w:r/>
            <w:r>
              <w:rPr>
                <w:rFonts w:ascii="Calibri" w:hAnsi="Calibri" w:eastAsia="Calibri"/>
                <w:b w:val="0"/>
                <w:i w:val="0"/>
                <w:sz w:val="18"/>
              </w:rPr>
              <w:t>Statuts PleaDraft : brouillon → en revue → validée → assignée (évent. archivée).</w:t>
            </w:r>
          </w:p>
        </w:tc>
        <w:tc>
          <w:tcPr>
            <w:tcW w:type="dxa" w:w="1247"/>
          </w:tcPr>
          <w:p>
            <w:r/>
            <w:r>
              <w:rPr>
                <w:rFonts w:ascii="Calibri" w:hAnsi="Calibri" w:eastAsia="Calibri"/>
                <w:b w:val="0"/>
                <w:i w:val="0"/>
                <w:sz w:val="18"/>
              </w:rPr>
              <w:t>Fortement recommandé</w:t>
            </w:r>
          </w:p>
        </w:tc>
        <w:tc>
          <w:tcPr>
            <w:tcW w:type="dxa" w:w="1701"/>
          </w:tcPr>
          <w:p>
            <w:r/>
            <w:r>
              <w:rPr>
                <w:rFonts w:ascii="Calibri" w:hAnsi="Calibri" w:eastAsia="Calibri"/>
                <w:b w:val="0"/>
                <w:i w:val="0"/>
                <w:sz w:val="18"/>
              </w:rPr>
              <w:t>Machine d'états plaidoirie</w:t>
            </w:r>
          </w:p>
        </w:tc>
      </w:tr>
      <w:tr>
        <w:tc>
          <w:tcPr>
            <w:tcW w:type="dxa" w:w="1814"/>
            <w:shd w:fill="F0F4F8" w:val="clear"/>
          </w:tcPr>
          <w:p>
            <w:r/>
            <w:r>
              <w:rPr>
                <w:rFonts w:ascii="Calibri" w:hAnsi="Calibri" w:eastAsia="Calibri"/>
                <w:b w:val="0"/>
                <w:i w:val="0"/>
                <w:sz w:val="18"/>
              </w:rPr>
              <w:t>Composants</w:t>
              <w:br/>
              <w:t>(Component)</w:t>
            </w:r>
          </w:p>
        </w:tc>
        <w:tc>
          <w:tcPr>
            <w:tcW w:type="dxa" w:w="1984"/>
            <w:shd w:fill="F0F4F8" w:val="clear"/>
          </w:tcPr>
          <w:p>
            <w:r/>
            <w:r>
              <w:rPr>
                <w:rFonts w:ascii="Calibri" w:hAnsi="Calibri" w:eastAsia="Calibri"/>
                <w:b w:val="0"/>
                <w:i w:val="0"/>
                <w:sz w:val="18"/>
              </w:rPr>
              <w:t>Architecture logicielle : modules remplaçables et interfaces.</w:t>
            </w:r>
          </w:p>
        </w:tc>
        <w:tc>
          <w:tcPr>
            <w:tcW w:type="dxa" w:w="2268"/>
            <w:shd w:fill="F0F4F8" w:val="clear"/>
          </w:tcPr>
          <w:p>
            <w:r/>
            <w:r>
              <w:rPr>
                <w:rFonts w:ascii="Calibri" w:hAnsi="Calibri" w:eastAsia="Calibri"/>
                <w:b w:val="0"/>
                <w:i w:val="0"/>
                <w:sz w:val="18"/>
              </w:rPr>
              <w:t>Frontend Next.js, Backend FastAPI, Postgres, Redis, MinIO/S3, STT, LLM, Caddy.</w:t>
            </w:r>
          </w:p>
        </w:tc>
        <w:tc>
          <w:tcPr>
            <w:tcW w:type="dxa" w:w="1247"/>
            <w:shd w:fill="F0F4F8" w:val="clear"/>
          </w:tcPr>
          <w:p>
            <w:r/>
            <w:r>
              <w:rPr>
                <w:rFonts w:ascii="Calibri" w:hAnsi="Calibri" w:eastAsia="Calibri"/>
                <w:b w:val="0"/>
                <w:i w:val="0"/>
                <w:sz w:val="18"/>
              </w:rPr>
              <w:t>Fortement recommandé</w:t>
            </w:r>
          </w:p>
        </w:tc>
        <w:tc>
          <w:tcPr>
            <w:tcW w:type="dxa" w:w="1701"/>
            <w:shd w:fill="F0F4F8" w:val="clear"/>
          </w:tcPr>
          <w:p>
            <w:r/>
            <w:r>
              <w:rPr>
                <w:rFonts w:ascii="Calibri" w:hAnsi="Calibri" w:eastAsia="Calibri"/>
                <w:b w:val="0"/>
                <w:i w:val="0"/>
                <w:sz w:val="18"/>
              </w:rPr>
              <w:t>Vue composants + dépendances</w:t>
            </w:r>
          </w:p>
        </w:tc>
      </w:tr>
      <w:tr>
        <w:tc>
          <w:tcPr>
            <w:tcW w:type="dxa" w:w="1814"/>
          </w:tcPr>
          <w:p>
            <w:r/>
            <w:r>
              <w:rPr>
                <w:rFonts w:ascii="Calibri" w:hAnsi="Calibri" w:eastAsia="Calibri"/>
                <w:b w:val="0"/>
                <w:i w:val="0"/>
                <w:sz w:val="18"/>
              </w:rPr>
              <w:t>Déploiement</w:t>
              <w:br/>
              <w:t>(Deployment)</w:t>
            </w:r>
          </w:p>
        </w:tc>
        <w:tc>
          <w:tcPr>
            <w:tcW w:type="dxa" w:w="1984"/>
          </w:tcPr>
          <w:p>
            <w:r/>
            <w:r>
              <w:rPr>
                <w:rFonts w:ascii="Calibri" w:hAnsi="Calibri" w:eastAsia="Calibri"/>
                <w:b w:val="0"/>
                <w:i w:val="0"/>
                <w:sz w:val="18"/>
              </w:rPr>
              <w:t>Nœuds physiques/VM, artéfacts et connexions réseau.</w:t>
            </w:r>
          </w:p>
        </w:tc>
        <w:tc>
          <w:tcPr>
            <w:tcW w:type="dxa" w:w="2268"/>
          </w:tcPr>
          <w:p>
            <w:r/>
            <w:r>
              <w:rPr>
                <w:rFonts w:ascii="Calibri" w:hAnsi="Calibri" w:eastAsia="Calibri"/>
                <w:b w:val="0"/>
                <w:i w:val="0"/>
                <w:sz w:val="18"/>
              </w:rPr>
              <w:t>VPS 51.x / lexhub.space, Docker Compose, Caddy TLS, volumes.</w:t>
            </w:r>
          </w:p>
        </w:tc>
        <w:tc>
          <w:tcPr>
            <w:tcW w:type="dxa" w:w="1247"/>
          </w:tcPr>
          <w:p>
            <w:r/>
            <w:r>
              <w:rPr>
                <w:rFonts w:ascii="Calibri" w:hAnsi="Calibri" w:eastAsia="Calibri"/>
                <w:b w:val="0"/>
                <w:i w:val="0"/>
                <w:sz w:val="18"/>
              </w:rPr>
              <w:t>Obligatoire</w:t>
            </w:r>
          </w:p>
        </w:tc>
        <w:tc>
          <w:tcPr>
            <w:tcW w:type="dxa" w:w="1701"/>
          </w:tcPr>
          <w:p>
            <w:r/>
            <w:r>
              <w:rPr>
                <w:rFonts w:ascii="Calibri" w:hAnsi="Calibri" w:eastAsia="Calibri"/>
                <w:b w:val="0"/>
                <w:i w:val="0"/>
                <w:sz w:val="18"/>
              </w:rPr>
              <w:t>Prod lexhub.space</w:t>
            </w:r>
          </w:p>
        </w:tc>
      </w:tr>
      <w:tr>
        <w:tc>
          <w:tcPr>
            <w:tcW w:type="dxa" w:w="1814"/>
            <w:shd w:fill="F0F4F8" w:val="clear"/>
          </w:tcPr>
          <w:p>
            <w:r/>
            <w:r>
              <w:rPr>
                <w:rFonts w:ascii="Calibri" w:hAnsi="Calibri" w:eastAsia="Calibri"/>
                <w:b w:val="0"/>
                <w:i w:val="0"/>
                <w:sz w:val="18"/>
              </w:rPr>
              <w:t>Paquetages</w:t>
              <w:br/>
              <w:t>(Package)</w:t>
            </w:r>
          </w:p>
        </w:tc>
        <w:tc>
          <w:tcPr>
            <w:tcW w:type="dxa" w:w="1984"/>
            <w:shd w:fill="F0F4F8" w:val="clear"/>
          </w:tcPr>
          <w:p>
            <w:r/>
            <w:r>
              <w:rPr>
                <w:rFonts w:ascii="Calibri" w:hAnsi="Calibri" w:eastAsia="Calibri"/>
                <w:b w:val="0"/>
                <w:i w:val="0"/>
                <w:sz w:val="18"/>
              </w:rPr>
              <w:t>Organisation logique du code / namespaces.</w:t>
            </w:r>
          </w:p>
        </w:tc>
        <w:tc>
          <w:tcPr>
            <w:tcW w:type="dxa" w:w="2268"/>
            <w:shd w:fill="F0F4F8" w:val="clear"/>
          </w:tcPr>
          <w:p>
            <w:r/>
            <w:r>
              <w:rPr>
                <w:rFonts w:ascii="Calibri" w:hAnsi="Calibri" w:eastAsia="Calibri"/>
                <w:b w:val="0"/>
                <w:i w:val="0"/>
                <w:sz w:val="18"/>
              </w:rPr>
              <w:t>api/, services/, models/, schemas/ ; frontend app/(routes).</w:t>
            </w:r>
          </w:p>
        </w:tc>
        <w:tc>
          <w:tcPr>
            <w:tcW w:type="dxa" w:w="1247"/>
            <w:shd w:fill="F0F4F8" w:val="clear"/>
          </w:tcPr>
          <w:p>
            <w:r/>
            <w:r>
              <w:rPr>
                <w:rFonts w:ascii="Calibri" w:hAnsi="Calibri" w:eastAsia="Calibri"/>
                <w:b w:val="0"/>
                <w:i w:val="0"/>
                <w:sz w:val="18"/>
              </w:rPr>
              <w:t>Fortement recommandé</w:t>
            </w:r>
          </w:p>
        </w:tc>
        <w:tc>
          <w:tcPr>
            <w:tcW w:type="dxa" w:w="1701"/>
            <w:shd w:fill="F0F4F8" w:val="clear"/>
          </w:tcPr>
          <w:p>
            <w:r/>
            <w:r>
              <w:rPr>
                <w:rFonts w:ascii="Calibri" w:hAnsi="Calibri" w:eastAsia="Calibri"/>
                <w:b w:val="0"/>
                <w:i w:val="0"/>
                <w:sz w:val="18"/>
              </w:rPr>
              <w:t>Packages backend Python</w:t>
            </w:r>
          </w:p>
        </w:tc>
      </w:tr>
      <w:tr>
        <w:tc>
          <w:tcPr>
            <w:tcW w:type="dxa" w:w="1814"/>
          </w:tcPr>
          <w:p>
            <w:r/>
            <w:r>
              <w:rPr>
                <w:rFonts w:ascii="Calibri" w:hAnsi="Calibri" w:eastAsia="Calibri"/>
                <w:b w:val="0"/>
                <w:i w:val="0"/>
                <w:sz w:val="18"/>
              </w:rPr>
              <w:t>Communication</w:t>
              <w:br/>
              <w:t>(Collaboration)</w:t>
            </w:r>
          </w:p>
        </w:tc>
        <w:tc>
          <w:tcPr>
            <w:tcW w:type="dxa" w:w="1984"/>
          </w:tcPr>
          <w:p>
            <w:r/>
            <w:r>
              <w:rPr>
                <w:rFonts w:ascii="Calibri" w:hAnsi="Calibri" w:eastAsia="Calibri"/>
                <w:b w:val="0"/>
                <w:i w:val="0"/>
                <w:sz w:val="18"/>
              </w:rPr>
              <w:t>Interactions centrées sur les liens structurels (pas le temps).</w:t>
            </w:r>
          </w:p>
        </w:tc>
        <w:tc>
          <w:tcPr>
            <w:tcW w:type="dxa" w:w="2268"/>
          </w:tcPr>
          <w:p>
            <w:r/>
            <w:r>
              <w:rPr>
                <w:rFonts w:ascii="Calibri" w:hAnsi="Calibri" w:eastAsia="Calibri"/>
                <w:b w:val="0"/>
                <w:i w:val="0"/>
                <w:sz w:val="18"/>
              </w:rPr>
              <w:t>Avocat ↔ Backend ↔ STT ↔ Redis pub/sub (notifications).</w:t>
            </w:r>
          </w:p>
        </w:tc>
        <w:tc>
          <w:tcPr>
            <w:tcW w:type="dxa" w:w="1247"/>
          </w:tcPr>
          <w:p>
            <w:r/>
            <w:r>
              <w:rPr>
                <w:rFonts w:ascii="Calibri" w:hAnsi="Calibri" w:eastAsia="Calibri"/>
                <w:b w:val="0"/>
                <w:i w:val="0"/>
                <w:sz w:val="18"/>
              </w:rPr>
              <w:t>Optionnel</w:t>
            </w:r>
          </w:p>
        </w:tc>
        <w:tc>
          <w:tcPr>
            <w:tcW w:type="dxa" w:w="1701"/>
          </w:tcPr>
          <w:p>
            <w:r/>
            <w:r>
              <w:rPr>
                <w:rFonts w:ascii="Calibri" w:hAnsi="Calibri" w:eastAsia="Calibri"/>
                <w:b w:val="0"/>
                <w:i w:val="0"/>
                <w:sz w:val="18"/>
              </w:rPr>
              <w:t>Collaboration notifications temps réel</w:t>
            </w:r>
          </w:p>
        </w:tc>
      </w:tr>
      <w:tr>
        <w:tc>
          <w:tcPr>
            <w:tcW w:type="dxa" w:w="1814"/>
            <w:shd w:fill="F0F4F8" w:val="clear"/>
          </w:tcPr>
          <w:p>
            <w:r/>
            <w:r>
              <w:rPr>
                <w:rFonts w:ascii="Calibri" w:hAnsi="Calibri" w:eastAsia="Calibri"/>
                <w:b w:val="0"/>
                <w:i w:val="0"/>
                <w:sz w:val="18"/>
              </w:rPr>
              <w:t>Timing</w:t>
              <w:br/>
              <w:t>(Timing)</w:t>
            </w:r>
          </w:p>
        </w:tc>
        <w:tc>
          <w:tcPr>
            <w:tcW w:type="dxa" w:w="1984"/>
            <w:shd w:fill="F0F4F8" w:val="clear"/>
          </w:tcPr>
          <w:p>
            <w:r/>
            <w:r>
              <w:rPr>
                <w:rFonts w:ascii="Calibri" w:hAnsi="Calibri" w:eastAsia="Calibri"/>
                <w:b w:val="0"/>
                <w:i w:val="0"/>
                <w:sz w:val="18"/>
              </w:rPr>
              <w:t>Contraintes temporelles sur états / messages.</w:t>
            </w:r>
          </w:p>
        </w:tc>
        <w:tc>
          <w:tcPr>
            <w:tcW w:type="dxa" w:w="2268"/>
            <w:shd w:fill="F0F4F8" w:val="clear"/>
          </w:tcPr>
          <w:p>
            <w:r/>
            <w:r>
              <w:rPr>
                <w:rFonts w:ascii="Calibri" w:hAnsi="Calibri" w:eastAsia="Calibri"/>
                <w:b w:val="0"/>
                <w:i w:val="0"/>
                <w:sz w:val="18"/>
              </w:rPr>
              <w:t>TTL OTP e-mail ; timeout chunk audio STT ; debounce WebSocket.</w:t>
            </w:r>
          </w:p>
        </w:tc>
        <w:tc>
          <w:tcPr>
            <w:tcW w:type="dxa" w:w="1247"/>
            <w:shd w:fill="F0F4F8" w:val="clear"/>
          </w:tcPr>
          <w:p>
            <w:r/>
            <w:r>
              <w:rPr>
                <w:rFonts w:ascii="Calibri" w:hAnsi="Calibri" w:eastAsia="Calibri"/>
                <w:b w:val="0"/>
                <w:i w:val="0"/>
                <w:sz w:val="18"/>
              </w:rPr>
              <w:t>Optionnel</w:t>
            </w:r>
          </w:p>
        </w:tc>
        <w:tc>
          <w:tcPr>
            <w:tcW w:type="dxa" w:w="1701"/>
            <w:shd w:fill="F0F4F8" w:val="clear"/>
          </w:tcPr>
          <w:p>
            <w:r/>
            <w:r>
              <w:rPr>
                <w:rFonts w:ascii="Calibri" w:hAnsi="Calibri" w:eastAsia="Calibri"/>
                <w:b w:val="0"/>
                <w:i w:val="0"/>
                <w:sz w:val="18"/>
              </w:rPr>
              <w:t>Uniquement si focus non-fonc. temps</w:t>
            </w:r>
          </w:p>
        </w:tc>
      </w:tr>
      <w:tr>
        <w:tc>
          <w:tcPr>
            <w:tcW w:type="dxa" w:w="1814"/>
          </w:tcPr>
          <w:p>
            <w:r/>
            <w:r>
              <w:rPr>
                <w:rFonts w:ascii="Calibri" w:hAnsi="Calibri" w:eastAsia="Calibri"/>
                <w:b w:val="0"/>
                <w:i w:val="0"/>
                <w:sz w:val="18"/>
              </w:rPr>
              <w:t>Objets / Instances</w:t>
              <w:br/>
              <w:t>(Object)</w:t>
            </w:r>
          </w:p>
        </w:tc>
        <w:tc>
          <w:tcPr>
            <w:tcW w:type="dxa" w:w="1984"/>
          </w:tcPr>
          <w:p>
            <w:r/>
            <w:r>
              <w:rPr>
                <w:rFonts w:ascii="Calibri" w:hAnsi="Calibri" w:eastAsia="Calibri"/>
                <w:b w:val="0"/>
                <w:i w:val="0"/>
                <w:sz w:val="18"/>
              </w:rPr>
              <w:t>Instantané d'objets concrets et liens à un moment T.</w:t>
            </w:r>
          </w:p>
        </w:tc>
        <w:tc>
          <w:tcPr>
            <w:tcW w:type="dxa" w:w="2268"/>
          </w:tcPr>
          <w:p>
            <w:r/>
            <w:r>
              <w:rPr>
                <w:rFonts w:ascii="Calibri" w:hAnsi="Calibri" w:eastAsia="Calibri"/>
                <w:b w:val="0"/>
                <w:i w:val="0"/>
                <w:sz w:val="18"/>
              </w:rPr>
              <w:t>Exemple : Cabinet « Cabinet Rabat » + 2 User + 1 PleaDraft validée.</w:t>
            </w:r>
          </w:p>
        </w:tc>
        <w:tc>
          <w:tcPr>
            <w:tcW w:type="dxa" w:w="1247"/>
          </w:tcPr>
          <w:p>
            <w:r/>
            <w:r>
              <w:rPr>
                <w:rFonts w:ascii="Calibri" w:hAnsi="Calibri" w:eastAsia="Calibri"/>
                <w:b w:val="0"/>
                <w:i w:val="0"/>
                <w:sz w:val="18"/>
              </w:rPr>
              <w:t>Optionnel</w:t>
            </w:r>
          </w:p>
        </w:tc>
        <w:tc>
          <w:tcPr>
            <w:tcW w:type="dxa" w:w="1701"/>
          </w:tcPr>
          <w:p>
            <w:r/>
            <w:r>
              <w:rPr>
                <w:rFonts w:ascii="Calibri" w:hAnsi="Calibri" w:eastAsia="Calibri"/>
                <w:b w:val="0"/>
                <w:i w:val="0"/>
                <w:sz w:val="18"/>
              </w:rPr>
              <w:t>Illustration multi-tenant</w:t>
            </w:r>
          </w:p>
        </w:tc>
      </w:tr>
      <w:tr>
        <w:tc>
          <w:tcPr>
            <w:tcW w:type="dxa" w:w="1814"/>
            <w:shd w:fill="F0F4F8" w:val="clear"/>
          </w:tcPr>
          <w:p>
            <w:r/>
            <w:r>
              <w:rPr>
                <w:rFonts w:ascii="Calibri" w:hAnsi="Calibri" w:eastAsia="Calibri"/>
                <w:b w:val="0"/>
                <w:i w:val="0"/>
                <w:sz w:val="18"/>
              </w:rPr>
              <w:t>Structure composite</w:t>
              <w:br/>
              <w:t>(Composite Structure)</w:t>
            </w:r>
          </w:p>
        </w:tc>
        <w:tc>
          <w:tcPr>
            <w:tcW w:type="dxa" w:w="1984"/>
            <w:shd w:fill="F0F4F8" w:val="clear"/>
          </w:tcPr>
          <w:p>
            <w:r/>
            <w:r>
              <w:rPr>
                <w:rFonts w:ascii="Calibri" w:hAnsi="Calibri" w:eastAsia="Calibri"/>
                <w:b w:val="0"/>
                <w:i w:val="0"/>
                <w:sz w:val="18"/>
              </w:rPr>
              <w:t>Parties internes d'un classifieur et ports/connectors.</w:t>
            </w:r>
          </w:p>
        </w:tc>
        <w:tc>
          <w:tcPr>
            <w:tcW w:type="dxa" w:w="2268"/>
            <w:shd w:fill="F0F4F8" w:val="clear"/>
          </w:tcPr>
          <w:p>
            <w:r/>
            <w:r>
              <w:rPr>
                <w:rFonts w:ascii="Calibri" w:hAnsi="Calibri" w:eastAsia="Calibri"/>
                <w:b w:val="0"/>
                <w:i w:val="0"/>
                <w:sz w:val="18"/>
              </w:rPr>
              <w:t>Peu critique pour LexHub SaaS classique (pas de ports hardware).</w:t>
            </w:r>
          </w:p>
        </w:tc>
        <w:tc>
          <w:tcPr>
            <w:tcW w:type="dxa" w:w="1247"/>
            <w:shd w:fill="F0F4F8" w:val="clear"/>
          </w:tcPr>
          <w:p>
            <w:r/>
            <w:r>
              <w:rPr>
                <w:rFonts w:ascii="Calibri" w:hAnsi="Calibri" w:eastAsia="Calibri"/>
                <w:b w:val="0"/>
                <w:i w:val="0"/>
                <w:sz w:val="18"/>
              </w:rPr>
              <w:t>Optionnel</w:t>
            </w:r>
          </w:p>
        </w:tc>
        <w:tc>
          <w:tcPr>
            <w:tcW w:type="dxa" w:w="1701"/>
            <w:shd w:fill="F0F4F8" w:val="clear"/>
          </w:tcPr>
          <w:p>
            <w:r/>
            <w:r>
              <w:rPr>
                <w:rFonts w:ascii="Calibri" w:hAnsi="Calibri" w:eastAsia="Calibri"/>
                <w:b w:val="0"/>
                <w:i w:val="0"/>
                <w:sz w:val="18"/>
              </w:rPr>
              <w:t>Mention brève / hors scope rapport</w:t>
            </w:r>
          </w:p>
        </w:tc>
      </w:tr>
      <w:tr>
        <w:tc>
          <w:tcPr>
            <w:tcW w:type="dxa" w:w="1814"/>
          </w:tcPr>
          <w:p>
            <w:r/>
            <w:r>
              <w:rPr>
                <w:rFonts w:ascii="Calibri" w:hAnsi="Calibri" w:eastAsia="Calibri"/>
                <w:b w:val="0"/>
                <w:i w:val="0"/>
                <w:sz w:val="18"/>
              </w:rPr>
              <w:t>Vue d'ensemble d'interaction</w:t>
              <w:br/>
              <w:t>(Interaction Overview)</w:t>
            </w:r>
          </w:p>
        </w:tc>
        <w:tc>
          <w:tcPr>
            <w:tcW w:type="dxa" w:w="1984"/>
          </w:tcPr>
          <w:p>
            <w:r/>
            <w:r>
              <w:rPr>
                <w:rFonts w:ascii="Calibri" w:hAnsi="Calibri" w:eastAsia="Calibri"/>
                <w:b w:val="0"/>
                <w:i w:val="0"/>
                <w:sz w:val="18"/>
              </w:rPr>
              <w:t>Activité dont les nœuds sont des interactions (séquence).</w:t>
            </w:r>
          </w:p>
        </w:tc>
        <w:tc>
          <w:tcPr>
            <w:tcW w:type="dxa" w:w="2268"/>
          </w:tcPr>
          <w:p>
            <w:r/>
            <w:r>
              <w:rPr>
                <w:rFonts w:ascii="Calibri" w:hAnsi="Calibri" w:eastAsia="Calibri"/>
                <w:b w:val="0"/>
                <w:i w:val="0"/>
                <w:sz w:val="18"/>
              </w:rPr>
              <w:t>Chaîner OTP → login → dictée → validation → export.</w:t>
            </w:r>
          </w:p>
        </w:tc>
        <w:tc>
          <w:tcPr>
            <w:tcW w:type="dxa" w:w="1247"/>
          </w:tcPr>
          <w:p>
            <w:r/>
            <w:r>
              <w:rPr>
                <w:rFonts w:ascii="Calibri" w:hAnsi="Calibri" w:eastAsia="Calibri"/>
                <w:b w:val="0"/>
                <w:i w:val="0"/>
                <w:sz w:val="18"/>
              </w:rPr>
              <w:t>Optionnel</w:t>
            </w:r>
          </w:p>
        </w:tc>
        <w:tc>
          <w:tcPr>
            <w:tcW w:type="dxa" w:w="1701"/>
          </w:tcPr>
          <w:p>
            <w:r/>
            <w:r>
              <w:rPr>
                <w:rFonts w:ascii="Calibri" w:hAnsi="Calibri" w:eastAsia="Calibri"/>
                <w:b w:val="0"/>
                <w:i w:val="0"/>
                <w:sz w:val="18"/>
              </w:rPr>
              <w:t>Si besoin de « big picture »</w:t>
            </w:r>
          </w:p>
        </w:tc>
      </w:tr>
      <w:tr>
        <w:tc>
          <w:tcPr>
            <w:tcW w:type="dxa" w:w="1814"/>
            <w:shd w:fill="F0F4F8" w:val="clear"/>
          </w:tcPr>
          <w:p>
            <w:r/>
            <w:r>
              <w:rPr>
                <w:rFonts w:ascii="Calibri" w:hAnsi="Calibri" w:eastAsia="Calibri"/>
                <w:b w:val="0"/>
                <w:i w:val="0"/>
                <w:sz w:val="18"/>
              </w:rPr>
              <w:t>Profil</w:t>
              <w:br/>
              <w:t>(Profile)</w:t>
            </w:r>
          </w:p>
        </w:tc>
        <w:tc>
          <w:tcPr>
            <w:tcW w:type="dxa" w:w="1984"/>
            <w:shd w:fill="F0F4F8" w:val="clear"/>
          </w:tcPr>
          <w:p>
            <w:r/>
            <w:r>
              <w:rPr>
                <w:rFonts w:ascii="Calibri" w:hAnsi="Calibri" w:eastAsia="Calibri"/>
                <w:b w:val="0"/>
                <w:i w:val="0"/>
                <w:sz w:val="18"/>
              </w:rPr>
              <w:t>Extension UML (stéréotypes, tagged values) pour un domaine.</w:t>
            </w:r>
          </w:p>
        </w:tc>
        <w:tc>
          <w:tcPr>
            <w:tcW w:type="dxa" w:w="2268"/>
            <w:shd w:fill="F0F4F8" w:val="clear"/>
          </w:tcPr>
          <w:p>
            <w:r/>
            <w:r>
              <w:rPr>
                <w:rFonts w:ascii="Calibri" w:hAnsi="Calibri" w:eastAsia="Calibri"/>
                <w:b w:val="0"/>
                <w:i w:val="0"/>
                <w:sz w:val="18"/>
              </w:rPr>
              <w:t>Avancé (stéréotypes « SaaS Tenant », « STT Service ») — hors besoin PFA.</w:t>
            </w:r>
          </w:p>
        </w:tc>
        <w:tc>
          <w:tcPr>
            <w:tcW w:type="dxa" w:w="1247"/>
            <w:shd w:fill="F0F4F8" w:val="clear"/>
          </w:tcPr>
          <w:p>
            <w:r/>
            <w:r>
              <w:rPr>
                <w:rFonts w:ascii="Calibri" w:hAnsi="Calibri" w:eastAsia="Calibri"/>
                <w:b w:val="0"/>
                <w:i w:val="0"/>
                <w:sz w:val="18"/>
              </w:rPr>
              <w:t>Optionnel (avancé)</w:t>
            </w:r>
          </w:p>
        </w:tc>
        <w:tc>
          <w:tcPr>
            <w:tcW w:type="dxa" w:w="1701"/>
            <w:shd w:fill="F0F4F8" w:val="clear"/>
          </w:tcPr>
          <w:p>
            <w:r/>
            <w:r>
              <w:rPr>
                <w:rFonts w:ascii="Calibri" w:hAnsi="Calibri" w:eastAsia="Calibri"/>
                <w:b w:val="0"/>
                <w:i w:val="0"/>
                <w:sz w:val="18"/>
              </w:rPr>
              <w:t>Ne pas produire sauf annexe</w:t>
            </w:r>
          </w:p>
        </w:tc>
      </w:tr>
    </w:tbl>
    <w:p/>
    <w:p>
      <w:pPr>
        <w:pStyle w:val="Heading1"/>
      </w:pPr>
      <w:r>
        <w:rPr>
          <w:color w:val="1A365D"/>
        </w:rPr>
        <w:t>3. Fiches détaillées par type</w:t>
      </w:r>
    </w:p>
    <w:p>
      <w:pPr>
        <w:pStyle w:val="Heading2"/>
      </w:pPr>
      <w:r>
        <w:rPr>
          <w:color w:val="1A365D"/>
        </w:rPr>
        <w:t>3.1 Cas d'utilisation (Use Case Diagram)</w:t>
      </w:r>
    </w:p>
    <w:p>
      <w:pPr>
        <w:spacing w:after="120" w:before="0" w:line="240" w:lineRule="auto"/>
      </w:pPr>
      <w:r>
        <w:rPr>
          <w:rFonts w:ascii="Calibri" w:hAnsi="Calibri" w:eastAsia="Calibri"/>
          <w:b w:val="0"/>
          <w:i w:val="0"/>
          <w:sz w:val="22"/>
        </w:rPr>
        <w:t>Représente les acteurs externes et les fonctionnalités du système sans entrer dans l'implémentation.</w:t>
      </w:r>
    </w:p>
    <w:p>
      <w:pPr>
        <w:pStyle w:val="ListBullet"/>
        <w:spacing w:after="60"/>
      </w:pPr>
      <w:r>
        <w:rPr>
          <w:rFonts w:ascii="Calibri" w:hAnsi="Calibri" w:eastAsia="Calibri"/>
          <w:b w:val="0"/>
          <w:i w:val="0"/>
          <w:sz w:val="22"/>
        </w:rPr>
        <w:t>Acteurs : Avocat, Assistant (stagiaire), Admin cabinet, Admin plateforme (WebVoice).</w:t>
      </w:r>
    </w:p>
    <w:p>
      <w:pPr>
        <w:pStyle w:val="ListBullet"/>
        <w:spacing w:after="60"/>
      </w:pPr>
      <w:r>
        <w:rPr>
          <w:rFonts w:ascii="Calibri" w:hAnsi="Calibri" w:eastAsia="Calibri"/>
          <w:b w:val="0"/>
          <w:i w:val="0"/>
          <w:sz w:val="22"/>
        </w:rPr>
        <w:t>Système : LexHub.</w:t>
      </w:r>
    </w:p>
    <w:p>
      <w:pPr>
        <w:pStyle w:val="ListBullet"/>
        <w:spacing w:after="60"/>
      </w:pPr>
      <w:r>
        <w:rPr>
          <w:rFonts w:ascii="Calibri" w:hAnsi="Calibri" w:eastAsia="Calibri"/>
          <w:b w:val="0"/>
          <w:i w:val="0"/>
          <w:sz w:val="22"/>
        </w:rPr>
        <w:t>UC prioritaires : S'inscrire (OTP), Se connecter, Créer dossier, Uploader document, Dicter plaidoirie (AR), Corriger fusḥā, Détecter contradictions, Générer structure, Valider plaidoirie, Assigner à assistant (PIN), Exporter DOCX/PDF, Gérer équipe, Configurer branding, Suspendre cabinet (admin plateforme).</w:t>
      </w:r>
    </w:p>
    <w:p>
      <w:pPr>
        <w:spacing w:after="120" w:before="80" w:line="240" w:lineRule="auto"/>
      </w:pPr>
      <w:r>
        <w:rPr>
          <w:rFonts w:ascii="Calibri" w:hAnsi="Calibri" w:eastAsia="Calibri"/>
          <w:b/>
          <w:i w:val="0"/>
          <w:sz w:val="20"/>
        </w:rPr>
        <w:t>Priorité rapport : Obligatoire — déjà présent (TikZ + PlantUML uc-lexhub.puml).</w:t>
      </w:r>
    </w:p>
    <w:p>
      <w:pPr>
        <w:pStyle w:val="Heading2"/>
      </w:pPr>
      <w:r>
        <w:rPr>
          <w:color w:val="1A365D"/>
        </w:rPr>
        <w:t>3.2 Classes (Class Diagram)</w:t>
      </w:r>
    </w:p>
    <w:p>
      <w:pPr>
        <w:spacing w:after="120" w:before="0" w:line="240" w:lineRule="auto"/>
      </w:pPr>
      <w:r>
        <w:rPr>
          <w:rFonts w:ascii="Calibri" w:hAnsi="Calibri" w:eastAsia="Calibri"/>
          <w:b w:val="0"/>
          <w:i w:val="0"/>
          <w:sz w:val="22"/>
        </w:rPr>
        <w:t>Décrit le modèle conceptuel / logique des données et leurs relations.</w:t>
      </w:r>
    </w:p>
    <w:p>
      <w:pPr>
        <w:pStyle w:val="ListBullet"/>
        <w:spacing w:after="60"/>
      </w:pPr>
      <w:r>
        <w:rPr>
          <w:rFonts w:ascii="Calibri" w:hAnsi="Calibri" w:eastAsia="Calibri"/>
          <w:b w:val="0"/>
          <w:i w:val="0"/>
          <w:sz w:val="22"/>
        </w:rPr>
        <w:t>Classes clés : User, Cabinet, Case, Document, PleaDraft, Notification, CabinetInvite, ActivityArchive, JoinCode.</w:t>
      </w:r>
    </w:p>
    <w:p>
      <w:pPr>
        <w:pStyle w:val="ListBullet"/>
        <w:spacing w:after="60"/>
      </w:pPr>
      <w:r>
        <w:rPr>
          <w:rFonts w:ascii="Calibri" w:hAnsi="Calibri" w:eastAsia="Calibri"/>
          <w:b w:val="0"/>
          <w:i w:val="0"/>
          <w:sz w:val="22"/>
        </w:rPr>
        <w:t>Relations : User ∈ Cabinet ; Case → Document* ; Case → PleaDraft* ; PleaDraft.status ; Notification → User.</w:t>
      </w:r>
    </w:p>
    <w:p>
      <w:pPr>
        <w:pStyle w:val="ListBullet"/>
        <w:spacing w:after="60"/>
      </w:pPr>
      <w:r>
        <w:rPr>
          <w:rFonts w:ascii="Calibri" w:hAnsi="Calibri" w:eastAsia="Calibri"/>
          <w:b w:val="0"/>
          <w:i w:val="0"/>
          <w:sz w:val="22"/>
        </w:rPr>
        <w:t>Cardinalités multi-tenant (isolation par cabinet_id).</w:t>
      </w:r>
    </w:p>
    <w:p>
      <w:pPr>
        <w:spacing w:after="120" w:before="80" w:line="240" w:lineRule="auto"/>
      </w:pPr>
      <w:r>
        <w:rPr>
          <w:rFonts w:ascii="Calibri" w:hAnsi="Calibri" w:eastAsia="Calibri"/>
          <w:b/>
          <w:i w:val="0"/>
          <w:sz w:val="20"/>
        </w:rPr>
        <w:t>Priorité rapport : Obligatoire — déjà présent (class-lexhub.puml + tableau LaTeX).</w:t>
      </w:r>
    </w:p>
    <w:p>
      <w:pPr>
        <w:pStyle w:val="Heading2"/>
      </w:pPr>
      <w:r>
        <w:rPr>
          <w:color w:val="1A365D"/>
        </w:rPr>
        <w:t>3.3 Séquence (Sequence Diagram)</w:t>
      </w:r>
    </w:p>
    <w:p>
      <w:pPr>
        <w:spacing w:after="120" w:before="0" w:line="240" w:lineRule="auto"/>
      </w:pPr>
      <w:r>
        <w:rPr>
          <w:rFonts w:ascii="Calibri" w:hAnsi="Calibri" w:eastAsia="Calibri"/>
          <w:b w:val="0"/>
          <w:i w:val="0"/>
          <w:sz w:val="22"/>
        </w:rPr>
        <w:t>Montre l'ordre chronologique des échanges entre participants.</w:t>
      </w:r>
    </w:p>
    <w:p>
      <w:pPr>
        <w:pStyle w:val="ListBullet"/>
        <w:spacing w:after="60"/>
      </w:pPr>
      <w:r>
        <w:rPr>
          <w:rFonts w:ascii="Calibri" w:hAnsi="Calibri" w:eastAsia="Calibri"/>
          <w:b w:val="0"/>
          <w:i w:val="0"/>
          <w:sz w:val="22"/>
        </w:rPr>
        <w:t>Inscription OTP (email → code → cabinet ACTIVE).</w:t>
      </w:r>
    </w:p>
    <w:p>
      <w:pPr>
        <w:pStyle w:val="ListBullet"/>
        <w:spacing w:after="60"/>
      </w:pPr>
      <w:r>
        <w:rPr>
          <w:rFonts w:ascii="Calibri" w:hAnsi="Calibri" w:eastAsia="Calibri"/>
          <w:b w:val="0"/>
          <w:i w:val="0"/>
          <w:sz w:val="22"/>
        </w:rPr>
        <w:t>Dictée arabe : micro → frontend → API → STT → correction fusḥā → marques orange.</w:t>
      </w:r>
    </w:p>
    <w:p>
      <w:pPr>
        <w:pStyle w:val="ListBullet"/>
        <w:spacing w:after="60"/>
      </w:pPr>
      <w:r>
        <w:rPr>
          <w:rFonts w:ascii="Calibri" w:hAnsi="Calibri" w:eastAsia="Calibri"/>
          <w:b w:val="0"/>
          <w:i w:val="0"/>
          <w:sz w:val="22"/>
        </w:rPr>
        <w:t>Validation plaidoirie → assignation assistant (+ PIN si applicable).</w:t>
      </w:r>
    </w:p>
    <w:p>
      <w:pPr>
        <w:pStyle w:val="ListBullet"/>
        <w:spacing w:after="60"/>
      </w:pPr>
      <w:r>
        <w:rPr>
          <w:rFonts w:ascii="Calibri" w:hAnsi="Calibri" w:eastAsia="Calibri"/>
          <w:b w:val="0"/>
          <w:i w:val="0"/>
          <w:sz w:val="22"/>
        </w:rPr>
        <w:t>Rejoindre cabinet (code / invite).</w:t>
      </w:r>
    </w:p>
    <w:p>
      <w:pPr>
        <w:pStyle w:val="ListBullet"/>
        <w:spacing w:after="60"/>
      </w:pPr>
      <w:r>
        <w:rPr>
          <w:rFonts w:ascii="Calibri" w:hAnsi="Calibri" w:eastAsia="Calibri"/>
          <w:b w:val="0"/>
          <w:i w:val="0"/>
          <w:sz w:val="22"/>
        </w:rPr>
        <w:t>Optionnel : upload document + OCR / synthèse.</w:t>
      </w:r>
    </w:p>
    <w:p>
      <w:pPr>
        <w:spacing w:after="120" w:before="80" w:line="240" w:lineRule="auto"/>
      </w:pPr>
      <w:r>
        <w:rPr>
          <w:rFonts w:ascii="Calibri" w:hAnsi="Calibri" w:eastAsia="Calibri"/>
          <w:b/>
          <w:i w:val="0"/>
          <w:sz w:val="20"/>
        </w:rPr>
        <w:t>Priorité rapport : Obligatoire — séquences dictée, assign, OTP déjà dans le rapport / PlantUML.</w:t>
      </w:r>
    </w:p>
    <w:p>
      <w:pPr>
        <w:pStyle w:val="Heading2"/>
      </w:pPr>
      <w:r>
        <w:rPr>
          <w:color w:val="1A365D"/>
        </w:rPr>
        <w:t>3.4 Activité (Activity Diagram)</w:t>
      </w:r>
    </w:p>
    <w:p>
      <w:pPr>
        <w:spacing w:after="120" w:before="0" w:line="240" w:lineRule="auto"/>
      </w:pPr>
      <w:r>
        <w:rPr>
          <w:rFonts w:ascii="Calibri" w:hAnsi="Calibri" w:eastAsia="Calibri"/>
          <w:b w:val="0"/>
          <w:i w:val="0"/>
          <w:sz w:val="22"/>
        </w:rPr>
        <w:t>Formalise un processus métier avec décisions et étapes.</w:t>
      </w:r>
    </w:p>
    <w:p>
      <w:pPr>
        <w:pStyle w:val="ListBullet"/>
        <w:spacing w:after="60"/>
      </w:pPr>
      <w:r>
        <w:rPr>
          <w:rFonts w:ascii="Calibri" w:hAnsi="Calibri" w:eastAsia="Calibri"/>
          <w:b w:val="0"/>
          <w:i w:val="0"/>
          <w:sz w:val="22"/>
        </w:rPr>
        <w:t>Pipeline plaidoirie 5 étapes : Contexte → Transcription → Correction forme → Contradictions → Génération/structure → Validation.</w:t>
      </w:r>
    </w:p>
    <w:p>
      <w:pPr>
        <w:pStyle w:val="ListBullet"/>
        <w:spacing w:after="60"/>
      </w:pPr>
      <w:r>
        <w:rPr>
          <w:rFonts w:ascii="Calibri" w:hAnsi="Calibri" w:eastAsia="Calibri"/>
          <w:b w:val="0"/>
          <w:i w:val="0"/>
          <w:sz w:val="22"/>
        </w:rPr>
        <w:t>Pipeline document : Upload → sniff MIME → OCR cloud → extraction → synthèse / ask.</w:t>
      </w:r>
    </w:p>
    <w:p>
      <w:pPr>
        <w:spacing w:after="120" w:before="80" w:line="240" w:lineRule="auto"/>
      </w:pPr>
      <w:r>
        <w:rPr>
          <w:rFonts w:ascii="Calibri" w:hAnsi="Calibri" w:eastAsia="Calibri"/>
          <w:b/>
          <w:i w:val="0"/>
          <w:sz w:val="20"/>
        </w:rPr>
        <w:t>Priorité rapport : Obligatoire pour plaidoirie (activity-plea.puml) ; OCR à produire/compléter.</w:t>
      </w:r>
    </w:p>
    <w:p>
      <w:pPr>
        <w:pStyle w:val="Heading2"/>
      </w:pPr>
      <w:r>
        <w:rPr>
          <w:color w:val="1A365D"/>
        </w:rPr>
        <w:t>3.5 Machine à états (State Machine)</w:t>
      </w:r>
    </w:p>
    <w:p>
      <w:pPr>
        <w:spacing w:after="120" w:before="0" w:line="240" w:lineRule="auto"/>
      </w:pPr>
      <w:r>
        <w:rPr>
          <w:rFonts w:ascii="Calibri" w:hAnsi="Calibri" w:eastAsia="Calibri"/>
          <w:b w:val="0"/>
          <w:i w:val="0"/>
          <w:sz w:val="22"/>
        </w:rPr>
        <w:t>Cycle de vie d'une instance (ici PleaDraft / dossier).</w:t>
      </w:r>
    </w:p>
    <w:p>
      <w:pPr>
        <w:pStyle w:val="ListBullet"/>
        <w:spacing w:after="60"/>
      </w:pPr>
      <w:r>
        <w:rPr>
          <w:rFonts w:ascii="Calibri" w:hAnsi="Calibri" w:eastAsia="Calibri"/>
          <w:b w:val="0"/>
          <w:i w:val="0"/>
          <w:sz w:val="22"/>
        </w:rPr>
        <w:t>États : brouillon, en_revue, validée, assignée, (archivée).</w:t>
      </w:r>
    </w:p>
    <w:p>
      <w:pPr>
        <w:pStyle w:val="ListBullet"/>
        <w:spacing w:after="60"/>
      </w:pPr>
      <w:r>
        <w:rPr>
          <w:rFonts w:ascii="Calibri" w:hAnsi="Calibri" w:eastAsia="Calibri"/>
          <w:b w:val="0"/>
          <w:i w:val="0"/>
          <w:sz w:val="22"/>
        </w:rPr>
        <w:t>Transitions : avocat édite ; avocat valide ; avocat assigne ; assistant consulte pièce validée.</w:t>
      </w:r>
    </w:p>
    <w:p>
      <w:pPr>
        <w:pStyle w:val="ListBullet"/>
        <w:spacing w:after="60"/>
      </w:pPr>
      <w:r>
        <w:rPr>
          <w:rFonts w:ascii="Calibri" w:hAnsi="Calibri" w:eastAsia="Calibri"/>
          <w:b w:val="0"/>
          <w:i w:val="0"/>
          <w:sz w:val="22"/>
        </w:rPr>
        <w:t>Utile pour expliquer les droits UI selon le statut.</w:t>
      </w:r>
    </w:p>
    <w:p>
      <w:pPr>
        <w:spacing w:after="120" w:before="80" w:line="240" w:lineRule="auto"/>
      </w:pPr>
      <w:r>
        <w:rPr>
          <w:rFonts w:ascii="Calibri" w:hAnsi="Calibri" w:eastAsia="Calibri"/>
          <w:b/>
          <w:i w:val="0"/>
          <w:sz w:val="20"/>
        </w:rPr>
        <w:t>Priorité rapport : Fortement recommandé — à produire (pas encore central dans LaTeX).</w:t>
      </w:r>
    </w:p>
    <w:p>
      <w:pPr>
        <w:pStyle w:val="Heading2"/>
      </w:pPr>
      <w:r>
        <w:rPr>
          <w:color w:val="1A365D"/>
        </w:rPr>
        <w:t>3.6 Composants (Component Diagram)</w:t>
      </w:r>
    </w:p>
    <w:p>
      <w:pPr>
        <w:spacing w:after="120" w:before="0" w:line="240" w:lineRule="auto"/>
      </w:pPr>
      <w:r>
        <w:rPr>
          <w:rFonts w:ascii="Calibri" w:hAnsi="Calibri" w:eastAsia="Calibri"/>
          <w:b w:val="0"/>
          <w:i w:val="0"/>
          <w:sz w:val="22"/>
        </w:rPr>
        <w:t>Découpe logicielle et interfaces fournies/requises.</w:t>
      </w:r>
    </w:p>
    <w:p>
      <w:pPr>
        <w:pStyle w:val="ListBullet"/>
        <w:spacing w:after="60"/>
      </w:pPr>
      <w:r>
        <w:rPr>
          <w:rFonts w:ascii="Calibri" w:hAnsi="Calibri" w:eastAsia="Calibri"/>
          <w:b w:val="0"/>
          <w:i w:val="0"/>
          <w:sz w:val="22"/>
        </w:rPr>
        <w:t>Composants : frontend (Next.js), backend (FastAPI), db (Postgres), cache/broker (Redis), object storage (MinIO/S3), services STT/LLM externes, reverse-proxy Caddy.</w:t>
      </w:r>
    </w:p>
    <w:p>
      <w:pPr>
        <w:pStyle w:val="ListBullet"/>
        <w:spacing w:after="60"/>
      </w:pPr>
      <w:r>
        <w:rPr>
          <w:rFonts w:ascii="Calibri" w:hAnsi="Calibri" w:eastAsia="Calibri"/>
          <w:b w:val="0"/>
          <w:i w:val="0"/>
          <w:sz w:val="22"/>
        </w:rPr>
        <w:t>Interfaces : REST/JSON, WebSocket realtime, SMTP OTP.</w:t>
      </w:r>
    </w:p>
    <w:p>
      <w:pPr>
        <w:spacing w:after="120" w:before="80" w:line="240" w:lineRule="auto"/>
      </w:pPr>
      <w:r>
        <w:rPr>
          <w:rFonts w:ascii="Calibri" w:hAnsi="Calibri" w:eastAsia="Calibri"/>
          <w:b/>
          <w:i w:val="0"/>
          <w:sz w:val="20"/>
        </w:rPr>
        <w:t>Priorité rapport : Fortement recommandé — partiellement couvert par « architecture » ; formaliser en UML composants.</w:t>
      </w:r>
    </w:p>
    <w:p>
      <w:pPr>
        <w:pStyle w:val="Heading2"/>
      </w:pPr>
      <w:r>
        <w:rPr>
          <w:color w:val="1A365D"/>
        </w:rPr>
        <w:t>3.7 Déploiement (Deployment Diagram)</w:t>
      </w:r>
    </w:p>
    <w:p>
      <w:pPr>
        <w:spacing w:after="120" w:before="0" w:line="240" w:lineRule="auto"/>
      </w:pPr>
      <w:r>
        <w:rPr>
          <w:rFonts w:ascii="Calibri" w:hAnsi="Calibri" w:eastAsia="Calibri"/>
          <w:b w:val="0"/>
          <w:i w:val="0"/>
          <w:sz w:val="22"/>
        </w:rPr>
        <w:t>Cartographie des nœuds d'exécution et artéfacts déployés.</w:t>
      </w:r>
    </w:p>
    <w:p>
      <w:pPr>
        <w:pStyle w:val="ListBullet"/>
        <w:spacing w:after="60"/>
      </w:pPr>
      <w:r>
        <w:rPr>
          <w:rFonts w:ascii="Calibri" w:hAnsi="Calibri" w:eastAsia="Calibri"/>
          <w:b w:val="0"/>
          <w:i w:val="0"/>
          <w:sz w:val="22"/>
        </w:rPr>
        <w:t>Nœud VPS, conteneurs Docker Compose (frontend, backend, postgres, redis, minio), Caddy (TLS lexhub.space), volumes persistants, DNS.</w:t>
      </w:r>
    </w:p>
    <w:p>
      <w:pPr>
        <w:spacing w:after="120" w:before="80" w:line="240" w:lineRule="auto"/>
      </w:pPr>
      <w:r>
        <w:rPr>
          <w:rFonts w:ascii="Calibri" w:hAnsi="Calibri" w:eastAsia="Calibri"/>
          <w:b/>
          <w:i w:val="0"/>
          <w:sz w:val="20"/>
        </w:rPr>
        <w:t>Priorité rapport : Obligatoire — deploy-lexhub.puml déjà présent.</w:t>
      </w:r>
    </w:p>
    <w:p>
      <w:pPr>
        <w:pStyle w:val="Heading2"/>
      </w:pPr>
      <w:r>
        <w:rPr>
          <w:color w:val="1A365D"/>
        </w:rPr>
        <w:t>3.8 Paquetages (Package Diagram)</w:t>
      </w:r>
    </w:p>
    <w:p>
      <w:pPr>
        <w:spacing w:after="120" w:before="0" w:line="240" w:lineRule="auto"/>
      </w:pPr>
      <w:r>
        <w:rPr>
          <w:rFonts w:ascii="Calibri" w:hAnsi="Calibri" w:eastAsia="Calibri"/>
          <w:b w:val="0"/>
          <w:i w:val="0"/>
          <w:sz w:val="22"/>
        </w:rPr>
        <w:t>Organisation des modules et dépendances entre packages.</w:t>
      </w:r>
    </w:p>
    <w:p>
      <w:pPr>
        <w:pStyle w:val="ListBullet"/>
        <w:spacing w:after="60"/>
      </w:pPr>
      <w:r>
        <w:rPr>
          <w:rFonts w:ascii="Calibri" w:hAnsi="Calibri" w:eastAsia="Calibri"/>
          <w:b w:val="0"/>
          <w:i w:val="0"/>
          <w:sz w:val="22"/>
        </w:rPr>
        <w:t>Backend : app.api, app.services, app.models, app.schemas, app.core, alembic.</w:t>
      </w:r>
    </w:p>
    <w:p>
      <w:pPr>
        <w:pStyle w:val="ListBullet"/>
        <w:spacing w:after="60"/>
      </w:pPr>
      <w:r>
        <w:rPr>
          <w:rFonts w:ascii="Calibri" w:hAnsi="Calibri" w:eastAsia="Calibri"/>
          <w:b w:val="0"/>
          <w:i w:val="0"/>
          <w:sz w:val="22"/>
        </w:rPr>
        <w:t>Frontend : app routes (dashboard, cases, documents, plea, team, settings).</w:t>
      </w:r>
    </w:p>
    <w:p>
      <w:pPr>
        <w:spacing w:after="120" w:before="80" w:line="240" w:lineRule="auto"/>
      </w:pPr>
      <w:r>
        <w:rPr>
          <w:rFonts w:ascii="Calibri" w:hAnsi="Calibri" w:eastAsia="Calibri"/>
          <w:b/>
          <w:i w:val="0"/>
          <w:sz w:val="20"/>
        </w:rPr>
        <w:t>Priorité rapport : Fortement recommandé — à produire (vue code).</w:t>
      </w:r>
    </w:p>
    <w:p>
      <w:pPr>
        <w:pStyle w:val="Heading2"/>
      </w:pPr>
      <w:r>
        <w:rPr>
          <w:color w:val="1A365D"/>
        </w:rPr>
        <w:t>3.9 Communication / Collaboration</w:t>
      </w:r>
    </w:p>
    <w:p>
      <w:pPr>
        <w:spacing w:after="120" w:before="0" w:line="240" w:lineRule="auto"/>
      </w:pPr>
      <w:r>
        <w:rPr>
          <w:rFonts w:ascii="Calibri" w:hAnsi="Calibri" w:eastAsia="Calibri"/>
          <w:b w:val="0"/>
          <w:i w:val="0"/>
          <w:sz w:val="22"/>
        </w:rPr>
        <w:t>Même information qu'une séquence mais centrée sur les liens structurels.</w:t>
      </w:r>
    </w:p>
    <w:p>
      <w:pPr>
        <w:pStyle w:val="ListBullet"/>
        <w:spacing w:after="60"/>
      </w:pPr>
      <w:r>
        <w:rPr>
          <w:rFonts w:ascii="Calibri" w:hAnsi="Calibri" w:eastAsia="Calibri"/>
          <w:b w:val="0"/>
          <w:i w:val="0"/>
          <w:sz w:val="22"/>
        </w:rPr>
        <w:t>Peu de valeur ajoutée si les séquences sont déjà claires.</w:t>
      </w:r>
    </w:p>
    <w:p>
      <w:pPr>
        <w:pStyle w:val="ListBullet"/>
        <w:spacing w:after="60"/>
      </w:pPr>
      <w:r>
        <w:rPr>
          <w:rFonts w:ascii="Calibri" w:hAnsi="Calibri" w:eastAsia="Calibri"/>
          <w:b w:val="0"/>
          <w:i w:val="0"/>
          <w:sz w:val="22"/>
        </w:rPr>
        <w:t>Éventuel focus : graphe avocat–API–Redis–clients pour notifications.</w:t>
      </w:r>
    </w:p>
    <w:p>
      <w:pPr>
        <w:spacing w:after="120" w:before="80" w:line="240" w:lineRule="auto"/>
      </w:pPr>
      <w:r>
        <w:rPr>
          <w:rFonts w:ascii="Calibri" w:hAnsi="Calibri" w:eastAsia="Calibri"/>
          <w:b/>
          <w:i w:val="0"/>
          <w:sz w:val="20"/>
        </w:rPr>
        <w:t>Priorité rapport : Optionnel.</w:t>
      </w:r>
    </w:p>
    <w:p>
      <w:pPr>
        <w:pStyle w:val="Heading2"/>
      </w:pPr>
      <w:r>
        <w:rPr>
          <w:color w:val="1A365D"/>
        </w:rPr>
        <w:t>3.10 Timing</w:t>
      </w:r>
    </w:p>
    <w:p>
      <w:pPr>
        <w:spacing w:after="120" w:before="0" w:line="240" w:lineRule="auto"/>
      </w:pPr>
      <w:r>
        <w:rPr>
          <w:rFonts w:ascii="Calibri" w:hAnsi="Calibri" w:eastAsia="Calibri"/>
          <w:b w:val="0"/>
          <w:i w:val="0"/>
          <w:sz w:val="22"/>
        </w:rPr>
        <w:t>Axes de temps et contraintes (durée, période).</w:t>
      </w:r>
    </w:p>
    <w:p>
      <w:pPr>
        <w:pStyle w:val="ListBullet"/>
        <w:spacing w:after="60"/>
      </w:pPr>
      <w:r>
        <w:rPr>
          <w:rFonts w:ascii="Calibri" w:hAnsi="Calibri" w:eastAsia="Calibri"/>
          <w:b w:val="0"/>
          <w:i w:val="0"/>
          <w:sz w:val="22"/>
        </w:rPr>
        <w:t>OTP expiration, rate-limit, latence STT chunks — utile seulement en annexe non-fonctionnelle.</w:t>
      </w:r>
    </w:p>
    <w:p>
      <w:pPr>
        <w:spacing w:after="120" w:before="80" w:line="240" w:lineRule="auto"/>
      </w:pPr>
      <w:r>
        <w:rPr>
          <w:rFonts w:ascii="Calibri" w:hAnsi="Calibri" w:eastAsia="Calibri"/>
          <w:b/>
          <w:i w:val="0"/>
          <w:sz w:val="20"/>
        </w:rPr>
        <w:t>Priorité rapport : Optionnel (si pertinent).</w:t>
      </w:r>
    </w:p>
    <w:p>
      <w:pPr>
        <w:pStyle w:val="Heading2"/>
      </w:pPr>
      <w:r>
        <w:rPr>
          <w:color w:val="1A365D"/>
        </w:rPr>
        <w:t>3.11 Objets / Instances</w:t>
      </w:r>
    </w:p>
    <w:p>
      <w:pPr>
        <w:spacing w:after="120" w:before="0" w:line="240" w:lineRule="auto"/>
      </w:pPr>
      <w:r>
        <w:rPr>
          <w:rFonts w:ascii="Calibri" w:hAnsi="Calibri" w:eastAsia="Calibri"/>
          <w:b w:val="0"/>
          <w:i w:val="0"/>
          <w:sz w:val="22"/>
        </w:rPr>
        <w:t>Exemple concret d'instances liées.</w:t>
      </w:r>
    </w:p>
    <w:p>
      <w:pPr>
        <w:pStyle w:val="ListBullet"/>
        <w:spacing w:after="60"/>
      </w:pPr>
      <w:r>
        <w:rPr>
          <w:rFonts w:ascii="Calibri" w:hAnsi="Calibri" w:eastAsia="Calibri"/>
          <w:b w:val="0"/>
          <w:i w:val="0"/>
          <w:sz w:val="22"/>
        </w:rPr>
        <w:t>Scénario démo : cabinet demo + avocat@sanad.ma + 1 dossier divorce + 1 PleaDraft validée.</w:t>
      </w:r>
    </w:p>
    <w:p>
      <w:pPr>
        <w:spacing w:after="120" w:before="80" w:line="240" w:lineRule="auto"/>
      </w:pPr>
      <w:r>
        <w:rPr>
          <w:rFonts w:ascii="Calibri" w:hAnsi="Calibri" w:eastAsia="Calibri"/>
          <w:b/>
          <w:i w:val="0"/>
          <w:sz w:val="20"/>
        </w:rPr>
        <w:t>Priorité rapport : Optionnel.</w:t>
      </w:r>
    </w:p>
    <w:p>
      <w:pPr>
        <w:pStyle w:val="Heading2"/>
      </w:pPr>
      <w:r>
        <w:rPr>
          <w:color w:val="1A365D"/>
        </w:rPr>
        <w:t>3.12 Structure composite</w:t>
      </w:r>
    </w:p>
    <w:p>
      <w:pPr>
        <w:spacing w:after="120" w:before="0" w:line="240" w:lineRule="auto"/>
      </w:pPr>
      <w:r>
        <w:rPr>
          <w:rFonts w:ascii="Calibri" w:hAnsi="Calibri" w:eastAsia="Calibri"/>
          <w:b w:val="0"/>
          <w:i w:val="0"/>
          <w:sz w:val="22"/>
        </w:rPr>
        <w:t>Détail interne d'un composant (parts, ports).</w:t>
      </w:r>
    </w:p>
    <w:p>
      <w:pPr>
        <w:pStyle w:val="ListBullet"/>
        <w:spacing w:after="60"/>
      </w:pPr>
      <w:r>
        <w:rPr>
          <w:rFonts w:ascii="Calibri" w:hAnsi="Calibri" w:eastAsia="Calibri"/>
          <w:b w:val="0"/>
          <w:i w:val="0"/>
          <w:sz w:val="22"/>
        </w:rPr>
        <w:t>Peu adapté au niveau d'abstraction du rapport PFA LexHub (architecture SaaS standard).</w:t>
      </w:r>
    </w:p>
    <w:p>
      <w:pPr>
        <w:spacing w:after="120" w:before="80" w:line="240" w:lineRule="auto"/>
      </w:pPr>
      <w:r>
        <w:rPr>
          <w:rFonts w:ascii="Calibri" w:hAnsi="Calibri" w:eastAsia="Calibri"/>
          <w:b/>
          <w:i w:val="0"/>
          <w:sz w:val="20"/>
        </w:rPr>
        <w:t>Priorité rapport : Optionnel — non prioritaire.</w:t>
      </w:r>
    </w:p>
    <w:p>
      <w:pPr>
        <w:pStyle w:val="Heading2"/>
      </w:pPr>
      <w:r>
        <w:rPr>
          <w:color w:val="1A365D"/>
        </w:rPr>
        <w:t>3.13 Vue d'ensemble d'interaction (Interaction Overview)</w:t>
      </w:r>
    </w:p>
    <w:p>
      <w:pPr>
        <w:spacing w:after="120" w:before="0" w:line="240" w:lineRule="auto"/>
      </w:pPr>
      <w:r>
        <w:rPr>
          <w:rFonts w:ascii="Calibri" w:hAnsi="Calibri" w:eastAsia="Calibri"/>
          <w:b w:val="0"/>
          <w:i w:val="0"/>
          <w:sz w:val="22"/>
        </w:rPr>
        <w:t>Combine activité et fragments d'interaction.</w:t>
      </w:r>
    </w:p>
    <w:p>
      <w:pPr>
        <w:pStyle w:val="ListBullet"/>
        <w:spacing w:after="60"/>
      </w:pPr>
      <w:r>
        <w:rPr>
          <w:rFonts w:ascii="Calibri" w:hAnsi="Calibri" w:eastAsia="Calibri"/>
          <w:b w:val="0"/>
          <w:i w:val="0"/>
          <w:sz w:val="22"/>
        </w:rPr>
        <w:t>Peut servir de « carte » reliant OTP → dictée → validation → export.</w:t>
      </w:r>
    </w:p>
    <w:p>
      <w:pPr>
        <w:spacing w:after="120" w:before="80" w:line="240" w:lineRule="auto"/>
      </w:pPr>
      <w:r>
        <w:rPr>
          <w:rFonts w:ascii="Calibri" w:hAnsi="Calibri" w:eastAsia="Calibri"/>
          <w:b/>
          <w:i w:val="0"/>
          <w:sz w:val="20"/>
        </w:rPr>
        <w:t>Priorité rapport : Optionnel.</w:t>
      </w:r>
    </w:p>
    <w:p>
      <w:pPr>
        <w:pStyle w:val="Heading2"/>
      </w:pPr>
      <w:r>
        <w:rPr>
          <w:color w:val="1A365D"/>
        </w:rPr>
        <w:t>3.14 Profil UML (Profile)</w:t>
      </w:r>
    </w:p>
    <w:p>
      <w:pPr>
        <w:spacing w:after="120" w:before="0" w:line="240" w:lineRule="auto"/>
      </w:pPr>
      <w:r>
        <w:rPr>
          <w:rFonts w:ascii="Calibri" w:hAnsi="Calibri" w:eastAsia="Calibri"/>
          <w:b w:val="0"/>
          <w:i w:val="0"/>
          <w:sz w:val="22"/>
        </w:rPr>
        <w:t>Mécanisme avancé d'extension du métamodèle UML.</w:t>
      </w:r>
    </w:p>
    <w:p>
      <w:pPr>
        <w:pStyle w:val="ListBullet"/>
        <w:spacing w:after="60"/>
      </w:pPr>
      <w:r>
        <w:rPr>
          <w:rFonts w:ascii="Calibri" w:hAnsi="Calibri" w:eastAsia="Calibri"/>
          <w:b w:val="0"/>
          <w:i w:val="0"/>
          <w:sz w:val="22"/>
        </w:rPr>
        <w:t>Hors scope du rapport PFA sauf mention théorique en état de l'art UML.</w:t>
      </w:r>
    </w:p>
    <w:p>
      <w:pPr>
        <w:spacing w:after="120" w:before="80" w:line="240" w:lineRule="auto"/>
      </w:pPr>
      <w:r>
        <w:rPr>
          <w:rFonts w:ascii="Calibri" w:hAnsi="Calibri" w:eastAsia="Calibri"/>
          <w:b/>
          <w:i w:val="0"/>
          <w:sz w:val="20"/>
        </w:rPr>
        <w:t>Priorité rapport : Optionnel (avancé) — mention brève uniquement.</w:t>
      </w:r>
    </w:p>
    <w:p>
      <w:pPr>
        <w:pStyle w:val="Heading1"/>
      </w:pPr>
      <w:r>
        <w:rPr>
          <w:color w:val="1A365D"/>
        </w:rPr>
        <w:t>4. Diagrammes déjà présents vs à produire</w:t>
      </w:r>
    </w:p>
    <w:p>
      <w:pPr>
        <w:pStyle w:val="Heading2"/>
      </w:pPr>
      <w:r>
        <w:rPr>
          <w:color w:val="1A365D"/>
        </w:rPr>
        <w:t>4.1 Déjà présents dans le rapport LaTeX / PlantUML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324"/>
        <w:gridCol w:w="3324"/>
        <w:gridCol w:w="3324"/>
      </w:tblGrid>
      <w:tr>
        <w:tc>
          <w:tcPr>
            <w:tcW w:type="dxa" w:w="3118"/>
            <w:shd w:fill="1A365D" w:val="clear"/>
          </w:tcPr>
          <w:p>
            <w:pPr>
              <w:jc w:val="center"/>
            </w:pPr>
            <w:r/>
            <w:r>
              <w:rPr>
                <w:rFonts w:ascii="Calibri" w:hAnsi="Calibri" w:eastAsia="Calibri"/>
                <w:b/>
                <w:i w:val="0"/>
                <w:color w:val="FFFFFF"/>
                <w:sz w:val="20"/>
              </w:rPr>
              <w:t>Diagramme</w:t>
            </w:r>
          </w:p>
        </w:tc>
        <w:tc>
          <w:tcPr>
            <w:tcW w:type="dxa" w:w="3969"/>
            <w:shd w:fill="1A365D" w:val="clear"/>
          </w:tcPr>
          <w:p>
            <w:pPr>
              <w:jc w:val="center"/>
            </w:pPr>
            <w:r/>
            <w:r>
              <w:rPr>
                <w:rFonts w:ascii="Calibri" w:hAnsi="Calibri" w:eastAsia="Calibri"/>
                <w:b/>
                <w:i w:val="0"/>
                <w:color w:val="FFFFFF"/>
                <w:sz w:val="20"/>
              </w:rPr>
              <w:t>Source</w:t>
            </w:r>
          </w:p>
        </w:tc>
        <w:tc>
          <w:tcPr>
            <w:tcW w:type="dxa" w:w="1701"/>
            <w:shd w:fill="1A365D" w:val="clear"/>
          </w:tcPr>
          <w:p>
            <w:pPr>
              <w:jc w:val="center"/>
            </w:pPr>
            <w:r/>
            <w:r>
              <w:rPr>
                <w:rFonts w:ascii="Calibri" w:hAnsi="Calibri" w:eastAsia="Calibri"/>
                <w:b/>
                <w:i w:val="0"/>
                <w:color w:val="FFFFFF"/>
                <w:sz w:val="20"/>
              </w:rPr>
              <w:t>Statut</w:t>
            </w:r>
          </w:p>
        </w:tc>
      </w:tr>
      <w:tr>
        <w:tc>
          <w:tcPr>
            <w:tcW w:type="dxa" w:w="3118"/>
          </w:tcPr>
          <w:p>
            <w:r/>
            <w:r>
              <w:rPr>
                <w:rFonts w:ascii="Calibri" w:hAnsi="Calibri" w:eastAsia="Calibri"/>
                <w:b w:val="0"/>
                <w:i w:val="0"/>
                <w:sz w:val="18"/>
              </w:rPr>
              <w:t>Cas d'utilisation (stick figures TikZ)</w:t>
            </w:r>
          </w:p>
        </w:tc>
        <w:tc>
          <w:tcPr>
            <w:tcW w:type="dxa" w:w="3969"/>
          </w:tcPr>
          <w:p>
            <w:r/>
            <w:r>
              <w:rPr>
                <w:rFonts w:ascii="Calibri" w:hAnsi="Calibri" w:eastAsia="Calibri"/>
                <w:b w:val="0"/>
                <w:i w:val="0"/>
                <w:sz w:val="18"/>
              </w:rPr>
              <w:t>chapitres/04-analyse.tex + uc-lexhub.puml</w:t>
            </w:r>
          </w:p>
        </w:tc>
        <w:tc>
          <w:tcPr>
            <w:tcW w:type="dxa" w:w="1701"/>
          </w:tcPr>
          <w:p>
            <w:r/>
            <w:r>
              <w:rPr>
                <w:rFonts w:ascii="Calibri" w:hAnsi="Calibri" w:eastAsia="Calibri"/>
                <w:b w:val="0"/>
                <w:i w:val="0"/>
                <w:sz w:val="18"/>
              </w:rPr>
              <w:t>Présent</w:t>
            </w:r>
          </w:p>
        </w:tc>
      </w:tr>
      <w:tr>
        <w:tc>
          <w:tcPr>
            <w:tcW w:type="dxa" w:w="3118"/>
            <w:shd w:fill="F0F4F8" w:val="clear"/>
          </w:tcPr>
          <w:p>
            <w:r/>
            <w:r>
              <w:rPr>
                <w:rFonts w:ascii="Calibri" w:hAnsi="Calibri" w:eastAsia="Calibri"/>
                <w:b w:val="0"/>
                <w:i w:val="0"/>
                <w:sz w:val="18"/>
              </w:rPr>
              <w:t>Séquence dictée (voix → texte corrigé)</w:t>
            </w:r>
          </w:p>
        </w:tc>
        <w:tc>
          <w:tcPr>
            <w:tcW w:type="dxa" w:w="3969"/>
            <w:shd w:fill="F0F4F8" w:val="clear"/>
          </w:tcPr>
          <w:p>
            <w:r/>
            <w:r>
              <w:rPr>
                <w:rFonts w:ascii="Calibri" w:hAnsi="Calibri" w:eastAsia="Calibri"/>
                <w:b w:val="0"/>
                <w:i w:val="0"/>
                <w:sz w:val="18"/>
              </w:rPr>
              <w:t>05-conception.tex + seq-dictation.puml</w:t>
            </w:r>
          </w:p>
        </w:tc>
        <w:tc>
          <w:tcPr>
            <w:tcW w:type="dxa" w:w="1701"/>
            <w:shd w:fill="F0F4F8" w:val="clear"/>
          </w:tcPr>
          <w:p>
            <w:r/>
            <w:r>
              <w:rPr>
                <w:rFonts w:ascii="Calibri" w:hAnsi="Calibri" w:eastAsia="Calibri"/>
                <w:b w:val="0"/>
                <w:i w:val="0"/>
                <w:sz w:val="18"/>
              </w:rPr>
              <w:t>Présent</w:t>
            </w:r>
          </w:p>
        </w:tc>
      </w:tr>
      <w:tr>
        <w:tc>
          <w:tcPr>
            <w:tcW w:type="dxa" w:w="3118"/>
          </w:tcPr>
          <w:p>
            <w:r/>
            <w:r>
              <w:rPr>
                <w:rFonts w:ascii="Calibri" w:hAnsi="Calibri" w:eastAsia="Calibri"/>
                <w:b w:val="0"/>
                <w:i w:val="0"/>
                <w:sz w:val="18"/>
              </w:rPr>
              <w:t>Séquence validation / assignation</w:t>
            </w:r>
          </w:p>
        </w:tc>
        <w:tc>
          <w:tcPr>
            <w:tcW w:type="dxa" w:w="3969"/>
          </w:tcPr>
          <w:p>
            <w:r/>
            <w:r>
              <w:rPr>
                <w:rFonts w:ascii="Calibri" w:hAnsi="Calibri" w:eastAsia="Calibri"/>
                <w:b w:val="0"/>
                <w:i w:val="0"/>
                <w:sz w:val="18"/>
              </w:rPr>
              <w:t>05-conception.tex + seq-assign.puml</w:t>
            </w:r>
          </w:p>
        </w:tc>
        <w:tc>
          <w:tcPr>
            <w:tcW w:type="dxa" w:w="1701"/>
          </w:tcPr>
          <w:p>
            <w:r/>
            <w:r>
              <w:rPr>
                <w:rFonts w:ascii="Calibri" w:hAnsi="Calibri" w:eastAsia="Calibri"/>
                <w:b w:val="0"/>
                <w:i w:val="0"/>
                <w:sz w:val="18"/>
              </w:rPr>
              <w:t>Présent</w:t>
            </w:r>
          </w:p>
        </w:tc>
      </w:tr>
      <w:tr>
        <w:tc>
          <w:tcPr>
            <w:tcW w:type="dxa" w:w="3118"/>
            <w:shd w:fill="F0F4F8" w:val="clear"/>
          </w:tcPr>
          <w:p>
            <w:r/>
            <w:r>
              <w:rPr>
                <w:rFonts w:ascii="Calibri" w:hAnsi="Calibri" w:eastAsia="Calibri"/>
                <w:b w:val="0"/>
                <w:i w:val="0"/>
                <w:sz w:val="18"/>
              </w:rPr>
              <w:t>Séquence inscription OTP</w:t>
            </w:r>
          </w:p>
        </w:tc>
        <w:tc>
          <w:tcPr>
            <w:tcW w:type="dxa" w:w="3969"/>
            <w:shd w:fill="F0F4F8" w:val="clear"/>
          </w:tcPr>
          <w:p>
            <w:r/>
            <w:r>
              <w:rPr>
                <w:rFonts w:ascii="Calibri" w:hAnsi="Calibri" w:eastAsia="Calibri"/>
                <w:b w:val="0"/>
                <w:i w:val="0"/>
                <w:sz w:val="18"/>
              </w:rPr>
              <w:t>05-conception.tex + seq-otp.puml</w:t>
            </w:r>
          </w:p>
        </w:tc>
        <w:tc>
          <w:tcPr>
            <w:tcW w:type="dxa" w:w="1701"/>
            <w:shd w:fill="F0F4F8" w:val="clear"/>
          </w:tcPr>
          <w:p>
            <w:r/>
            <w:r>
              <w:rPr>
                <w:rFonts w:ascii="Calibri" w:hAnsi="Calibri" w:eastAsia="Calibri"/>
                <w:b w:val="0"/>
                <w:i w:val="0"/>
                <w:sz w:val="18"/>
              </w:rPr>
              <w:t>Présent (version locale)</w:t>
            </w:r>
          </w:p>
        </w:tc>
      </w:tr>
      <w:tr>
        <w:tc>
          <w:tcPr>
            <w:tcW w:type="dxa" w:w="3118"/>
          </w:tcPr>
          <w:p>
            <w:r/>
            <w:r>
              <w:rPr>
                <w:rFonts w:ascii="Calibri" w:hAnsi="Calibri" w:eastAsia="Calibri"/>
                <w:b w:val="0"/>
                <w:i w:val="0"/>
                <w:sz w:val="18"/>
              </w:rPr>
              <w:t>Classes / modèle de données</w:t>
            </w:r>
          </w:p>
        </w:tc>
        <w:tc>
          <w:tcPr>
            <w:tcW w:type="dxa" w:w="3969"/>
          </w:tcPr>
          <w:p>
            <w:r/>
            <w:r>
              <w:rPr>
                <w:rFonts w:ascii="Calibri" w:hAnsi="Calibri" w:eastAsia="Calibri"/>
                <w:b w:val="0"/>
                <w:i w:val="0"/>
                <w:sz w:val="18"/>
              </w:rPr>
              <w:t>05-conception.tex + class-lexhub.puml</w:t>
            </w:r>
          </w:p>
        </w:tc>
        <w:tc>
          <w:tcPr>
            <w:tcW w:type="dxa" w:w="1701"/>
          </w:tcPr>
          <w:p>
            <w:r/>
            <w:r>
              <w:rPr>
                <w:rFonts w:ascii="Calibri" w:hAnsi="Calibri" w:eastAsia="Calibri"/>
                <w:b w:val="0"/>
                <w:i w:val="0"/>
                <w:sz w:val="18"/>
              </w:rPr>
              <w:t>Présent</w:t>
            </w:r>
          </w:p>
        </w:tc>
      </w:tr>
      <w:tr>
        <w:tc>
          <w:tcPr>
            <w:tcW w:type="dxa" w:w="3118"/>
            <w:shd w:fill="F0F4F8" w:val="clear"/>
          </w:tcPr>
          <w:p>
            <w:r/>
            <w:r>
              <w:rPr>
                <w:rFonts w:ascii="Calibri" w:hAnsi="Calibri" w:eastAsia="Calibri"/>
                <w:b w:val="0"/>
                <w:i w:val="0"/>
                <w:sz w:val="18"/>
              </w:rPr>
              <w:t>Activité atelier plaidoirie</w:t>
            </w:r>
          </w:p>
        </w:tc>
        <w:tc>
          <w:tcPr>
            <w:tcW w:type="dxa" w:w="3969"/>
            <w:shd w:fill="F0F4F8" w:val="clear"/>
          </w:tcPr>
          <w:p>
            <w:r/>
            <w:r>
              <w:rPr>
                <w:rFonts w:ascii="Calibri" w:hAnsi="Calibri" w:eastAsia="Calibri"/>
                <w:b w:val="0"/>
                <w:i w:val="0"/>
                <w:sz w:val="18"/>
              </w:rPr>
              <w:t>05-conception.tex + activity-plea.puml</w:t>
            </w:r>
          </w:p>
        </w:tc>
        <w:tc>
          <w:tcPr>
            <w:tcW w:type="dxa" w:w="1701"/>
            <w:shd w:fill="F0F4F8" w:val="clear"/>
          </w:tcPr>
          <w:p>
            <w:r/>
            <w:r>
              <w:rPr>
                <w:rFonts w:ascii="Calibri" w:hAnsi="Calibri" w:eastAsia="Calibri"/>
                <w:b w:val="0"/>
                <w:i w:val="0"/>
                <w:sz w:val="18"/>
              </w:rPr>
              <w:t>Présent</w:t>
            </w:r>
          </w:p>
        </w:tc>
      </w:tr>
      <w:tr>
        <w:tc>
          <w:tcPr>
            <w:tcW w:type="dxa" w:w="3118"/>
          </w:tcPr>
          <w:p>
            <w:r/>
            <w:r>
              <w:rPr>
                <w:rFonts w:ascii="Calibri" w:hAnsi="Calibri" w:eastAsia="Calibri"/>
                <w:b w:val="0"/>
                <w:i w:val="0"/>
                <w:sz w:val="18"/>
              </w:rPr>
              <w:t>Déploiement lexhub.space</w:t>
            </w:r>
          </w:p>
        </w:tc>
        <w:tc>
          <w:tcPr>
            <w:tcW w:type="dxa" w:w="3969"/>
          </w:tcPr>
          <w:p>
            <w:r/>
            <w:r>
              <w:rPr>
                <w:rFonts w:ascii="Calibri" w:hAnsi="Calibri" w:eastAsia="Calibri"/>
                <w:b w:val="0"/>
                <w:i w:val="0"/>
                <w:sz w:val="18"/>
              </w:rPr>
              <w:t>05-conception.tex + deploy-lexhub.puml</w:t>
            </w:r>
          </w:p>
        </w:tc>
        <w:tc>
          <w:tcPr>
            <w:tcW w:type="dxa" w:w="1701"/>
          </w:tcPr>
          <w:p>
            <w:r/>
            <w:r>
              <w:rPr>
                <w:rFonts w:ascii="Calibri" w:hAnsi="Calibri" w:eastAsia="Calibri"/>
                <w:b w:val="0"/>
                <w:i w:val="0"/>
                <w:sz w:val="18"/>
              </w:rPr>
              <w:t>Présent</w:t>
            </w:r>
          </w:p>
        </w:tc>
      </w:tr>
      <w:tr>
        <w:tc>
          <w:tcPr>
            <w:tcW w:type="dxa" w:w="3118"/>
            <w:shd w:fill="F0F4F8" w:val="clear"/>
          </w:tcPr>
          <w:p>
            <w:r/>
            <w:r>
              <w:rPr>
                <w:rFonts w:ascii="Calibri" w:hAnsi="Calibri" w:eastAsia="Calibri"/>
                <w:b w:val="0"/>
                <w:i w:val="0"/>
                <w:sz w:val="18"/>
              </w:rPr>
              <w:t>Architecture (vue composants informelle)</w:t>
            </w:r>
          </w:p>
        </w:tc>
        <w:tc>
          <w:tcPr>
            <w:tcW w:type="dxa" w:w="3969"/>
            <w:shd w:fill="F0F4F8" w:val="clear"/>
          </w:tcPr>
          <w:p>
            <w:r/>
            <w:r>
              <w:rPr>
                <w:rFonts w:ascii="Calibri" w:hAnsi="Calibri" w:eastAsia="Calibri"/>
                <w:b w:val="0"/>
                <w:i w:val="0"/>
                <w:sz w:val="18"/>
              </w:rPr>
              <w:t>Chapitre conception / réalisation</w:t>
            </w:r>
          </w:p>
        </w:tc>
        <w:tc>
          <w:tcPr>
            <w:tcW w:type="dxa" w:w="1701"/>
            <w:shd w:fill="F0F4F8" w:val="clear"/>
          </w:tcPr>
          <w:p>
            <w:r/>
            <w:r>
              <w:rPr>
                <w:rFonts w:ascii="Calibri" w:hAnsi="Calibri" w:eastAsia="Calibri"/>
                <w:b w:val="0"/>
                <w:i w:val="0"/>
                <w:sz w:val="18"/>
              </w:rPr>
              <w:t>Présent (à formaliser UML)</w:t>
            </w:r>
          </w:p>
        </w:tc>
      </w:tr>
    </w:tbl>
    <w:p/>
    <w:p>
      <w:pPr>
        <w:pStyle w:val="Heading2"/>
      </w:pPr>
      <w:r>
        <w:rPr>
          <w:color w:val="1A365D"/>
        </w:rPr>
        <w:t>4.2 À produire ou compléter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324"/>
        <w:gridCol w:w="3324"/>
        <w:gridCol w:w="3324"/>
      </w:tblGrid>
      <w:tr>
        <w:tc>
          <w:tcPr>
            <w:tcW w:type="dxa" w:w="3118"/>
            <w:shd w:fill="1A365D" w:val="clear"/>
          </w:tcPr>
          <w:p>
            <w:pPr>
              <w:jc w:val="center"/>
            </w:pPr>
            <w:r/>
            <w:r>
              <w:rPr>
                <w:rFonts w:ascii="Calibri" w:hAnsi="Calibri" w:eastAsia="Calibri"/>
                <w:b/>
                <w:i w:val="0"/>
                <w:color w:val="FFFFFF"/>
                <w:sz w:val="20"/>
              </w:rPr>
              <w:t>Diagramme recommandé</w:t>
            </w:r>
          </w:p>
        </w:tc>
        <w:tc>
          <w:tcPr>
            <w:tcW w:type="dxa" w:w="1984"/>
            <w:shd w:fill="1A365D" w:val="clear"/>
          </w:tcPr>
          <w:p>
            <w:pPr>
              <w:jc w:val="center"/>
            </w:pPr>
            <w:r/>
            <w:r>
              <w:rPr>
                <w:rFonts w:ascii="Calibri" w:hAnsi="Calibri" w:eastAsia="Calibri"/>
                <w:b/>
                <w:i w:val="0"/>
                <w:color w:val="FFFFFF"/>
                <w:sz w:val="20"/>
              </w:rPr>
              <w:t>Priorité</w:t>
            </w:r>
          </w:p>
        </w:tc>
        <w:tc>
          <w:tcPr>
            <w:tcW w:type="dxa" w:w="3685"/>
            <w:shd w:fill="1A365D" w:val="clear"/>
          </w:tcPr>
          <w:p>
            <w:pPr>
              <w:jc w:val="center"/>
            </w:pPr>
            <w:r/>
            <w:r>
              <w:rPr>
                <w:rFonts w:ascii="Calibri" w:hAnsi="Calibri" w:eastAsia="Calibri"/>
                <w:b/>
                <w:i w:val="0"/>
                <w:color w:val="FFFFFF"/>
                <w:sz w:val="20"/>
              </w:rPr>
              <w:t>Action</w:t>
            </w:r>
          </w:p>
        </w:tc>
      </w:tr>
      <w:tr>
        <w:tc>
          <w:tcPr>
            <w:tcW w:type="dxa" w:w="3118"/>
          </w:tcPr>
          <w:p>
            <w:r/>
            <w:r>
              <w:rPr>
                <w:rFonts w:ascii="Calibri" w:hAnsi="Calibri" w:eastAsia="Calibri"/>
                <w:b w:val="0"/>
                <w:i w:val="0"/>
                <w:sz w:val="18"/>
              </w:rPr>
              <w:t>Machine à états PleaDraft</w:t>
            </w:r>
          </w:p>
        </w:tc>
        <w:tc>
          <w:tcPr>
            <w:tcW w:type="dxa" w:w="1984"/>
          </w:tcPr>
          <w:p>
            <w:r/>
            <w:r>
              <w:rPr>
                <w:rFonts w:ascii="Calibri" w:hAnsi="Calibri" w:eastAsia="Calibri"/>
                <w:b w:val="0"/>
                <w:i w:val="0"/>
                <w:sz w:val="18"/>
              </w:rPr>
              <w:t>Fortement recommandé</w:t>
            </w:r>
          </w:p>
        </w:tc>
        <w:tc>
          <w:tcPr>
            <w:tcW w:type="dxa" w:w="3685"/>
          </w:tcPr>
          <w:p>
            <w:r/>
            <w:r>
              <w:rPr>
                <w:rFonts w:ascii="Calibri" w:hAnsi="Calibri" w:eastAsia="Calibri"/>
                <w:b w:val="0"/>
                <w:i w:val="0"/>
                <w:sz w:val="18"/>
              </w:rPr>
              <w:t>Créer state-plea.puml + figure LaTeX</w:t>
            </w:r>
          </w:p>
        </w:tc>
      </w:tr>
      <w:tr>
        <w:tc>
          <w:tcPr>
            <w:tcW w:type="dxa" w:w="3118"/>
            <w:shd w:fill="F0F4F8" w:val="clear"/>
          </w:tcPr>
          <w:p>
            <w:r/>
            <w:r>
              <w:rPr>
                <w:rFonts w:ascii="Calibri" w:hAnsi="Calibri" w:eastAsia="Calibri"/>
                <w:b w:val="0"/>
                <w:i w:val="0"/>
                <w:sz w:val="18"/>
              </w:rPr>
              <w:t>Composants UML formels</w:t>
            </w:r>
          </w:p>
        </w:tc>
        <w:tc>
          <w:tcPr>
            <w:tcW w:type="dxa" w:w="1984"/>
            <w:shd w:fill="F0F4F8" w:val="clear"/>
          </w:tcPr>
          <w:p>
            <w:r/>
            <w:r>
              <w:rPr>
                <w:rFonts w:ascii="Calibri" w:hAnsi="Calibri" w:eastAsia="Calibri"/>
                <w:b w:val="0"/>
                <w:i w:val="0"/>
                <w:sz w:val="18"/>
              </w:rPr>
              <w:t>Fortement recommandé</w:t>
            </w:r>
          </w:p>
        </w:tc>
        <w:tc>
          <w:tcPr>
            <w:tcW w:type="dxa" w:w="3685"/>
            <w:shd w:fill="F0F4F8" w:val="clear"/>
          </w:tcPr>
          <w:p>
            <w:r/>
            <w:r>
              <w:rPr>
                <w:rFonts w:ascii="Calibri" w:hAnsi="Calibri" w:eastAsia="Calibri"/>
                <w:b w:val="0"/>
                <w:i w:val="0"/>
                <w:sz w:val="18"/>
              </w:rPr>
              <w:t>Formaliser architecture en Component</w:t>
            </w:r>
          </w:p>
        </w:tc>
      </w:tr>
      <w:tr>
        <w:tc>
          <w:tcPr>
            <w:tcW w:type="dxa" w:w="3118"/>
          </w:tcPr>
          <w:p>
            <w:r/>
            <w:r>
              <w:rPr>
                <w:rFonts w:ascii="Calibri" w:hAnsi="Calibri" w:eastAsia="Calibri"/>
                <w:b w:val="0"/>
                <w:i w:val="0"/>
                <w:sz w:val="18"/>
              </w:rPr>
              <w:t>Paquetages backend</w:t>
            </w:r>
          </w:p>
        </w:tc>
        <w:tc>
          <w:tcPr>
            <w:tcW w:type="dxa" w:w="1984"/>
          </w:tcPr>
          <w:p>
            <w:r/>
            <w:r>
              <w:rPr>
                <w:rFonts w:ascii="Calibri" w:hAnsi="Calibri" w:eastAsia="Calibri"/>
                <w:b w:val="0"/>
                <w:i w:val="0"/>
                <w:sz w:val="18"/>
              </w:rPr>
              <w:t>Fortement recommandé</w:t>
            </w:r>
          </w:p>
        </w:tc>
        <w:tc>
          <w:tcPr>
            <w:tcW w:type="dxa" w:w="3685"/>
          </w:tcPr>
          <w:p>
            <w:r/>
            <w:r>
              <w:rPr>
                <w:rFonts w:ascii="Calibri" w:hAnsi="Calibri" w:eastAsia="Calibri"/>
                <w:b w:val="0"/>
                <w:i w:val="0"/>
                <w:sz w:val="18"/>
              </w:rPr>
              <w:t>package-backend.puml</w:t>
            </w:r>
          </w:p>
        </w:tc>
      </w:tr>
      <w:tr>
        <w:tc>
          <w:tcPr>
            <w:tcW w:type="dxa" w:w="3118"/>
            <w:shd w:fill="F0F4F8" w:val="clear"/>
          </w:tcPr>
          <w:p>
            <w:r/>
            <w:r>
              <w:rPr>
                <w:rFonts w:ascii="Calibri" w:hAnsi="Calibri" w:eastAsia="Calibri"/>
                <w:b w:val="0"/>
                <w:i w:val="0"/>
                <w:sz w:val="18"/>
              </w:rPr>
              <w:t>Activité pipeline OCR documents</w:t>
            </w:r>
          </w:p>
        </w:tc>
        <w:tc>
          <w:tcPr>
            <w:tcW w:type="dxa" w:w="1984"/>
            <w:shd w:fill="F0F4F8" w:val="clear"/>
          </w:tcPr>
          <w:p>
            <w:r/>
            <w:r>
              <w:rPr>
                <w:rFonts w:ascii="Calibri" w:hAnsi="Calibri" w:eastAsia="Calibri"/>
                <w:b w:val="0"/>
                <w:i w:val="0"/>
                <w:sz w:val="18"/>
              </w:rPr>
              <w:t>Fortement recommandé</w:t>
            </w:r>
          </w:p>
        </w:tc>
        <w:tc>
          <w:tcPr>
            <w:tcW w:type="dxa" w:w="3685"/>
            <w:shd w:fill="F0F4F8" w:val="clear"/>
          </w:tcPr>
          <w:p>
            <w:r/>
            <w:r>
              <w:rPr>
                <w:rFonts w:ascii="Calibri" w:hAnsi="Calibri" w:eastAsia="Calibri"/>
                <w:b w:val="0"/>
                <w:i w:val="0"/>
                <w:sz w:val="18"/>
              </w:rPr>
              <w:t>activity-ocr.puml</w:t>
            </w:r>
          </w:p>
        </w:tc>
      </w:tr>
      <w:tr>
        <w:tc>
          <w:tcPr>
            <w:tcW w:type="dxa" w:w="3118"/>
          </w:tcPr>
          <w:p>
            <w:r/>
            <w:r>
              <w:rPr>
                <w:rFonts w:ascii="Calibri" w:hAnsi="Calibri" w:eastAsia="Calibri"/>
                <w:b w:val="0"/>
                <w:i w:val="0"/>
                <w:sz w:val="18"/>
              </w:rPr>
              <w:t>Séquence join cabinet / invite</w:t>
            </w:r>
          </w:p>
        </w:tc>
        <w:tc>
          <w:tcPr>
            <w:tcW w:type="dxa" w:w="1984"/>
          </w:tcPr>
          <w:p>
            <w:r/>
            <w:r>
              <w:rPr>
                <w:rFonts w:ascii="Calibri" w:hAnsi="Calibri" w:eastAsia="Calibri"/>
                <w:b w:val="0"/>
                <w:i w:val="0"/>
                <w:sz w:val="18"/>
              </w:rPr>
              <w:t>Recommandé</w:t>
            </w:r>
          </w:p>
        </w:tc>
        <w:tc>
          <w:tcPr>
            <w:tcW w:type="dxa" w:w="3685"/>
          </w:tcPr>
          <w:p>
            <w:r/>
            <w:r>
              <w:rPr>
                <w:rFonts w:ascii="Calibri" w:hAnsi="Calibri" w:eastAsia="Calibri"/>
                <w:b w:val="0"/>
                <w:i w:val="0"/>
                <w:sz w:val="18"/>
              </w:rPr>
              <w:t>seq-join.puml</w:t>
            </w:r>
          </w:p>
        </w:tc>
      </w:tr>
      <w:tr>
        <w:tc>
          <w:tcPr>
            <w:tcW w:type="dxa" w:w="3118"/>
            <w:shd w:fill="F0F4F8" w:val="clear"/>
          </w:tcPr>
          <w:p>
            <w:r/>
            <w:r>
              <w:rPr>
                <w:rFonts w:ascii="Calibri" w:hAnsi="Calibri" w:eastAsia="Calibri"/>
                <w:b w:val="0"/>
                <w:i w:val="0"/>
                <w:sz w:val="18"/>
              </w:rPr>
              <w:t>UC zoom admin plateforme</w:t>
            </w:r>
          </w:p>
        </w:tc>
        <w:tc>
          <w:tcPr>
            <w:tcW w:type="dxa" w:w="1984"/>
            <w:shd w:fill="F0F4F8" w:val="clear"/>
          </w:tcPr>
          <w:p>
            <w:r/>
            <w:r>
              <w:rPr>
                <w:rFonts w:ascii="Calibri" w:hAnsi="Calibri" w:eastAsia="Calibri"/>
                <w:b w:val="0"/>
                <w:i w:val="0"/>
                <w:sz w:val="18"/>
              </w:rPr>
              <w:t>Optionnel</w:t>
            </w:r>
          </w:p>
        </w:tc>
        <w:tc>
          <w:tcPr>
            <w:tcW w:type="dxa" w:w="3685"/>
            <w:shd w:fill="F0F4F8" w:val="clear"/>
          </w:tcPr>
          <w:p>
            <w:r/>
            <w:r>
              <w:rPr>
                <w:rFonts w:ascii="Calibri" w:hAnsi="Calibri" w:eastAsia="Calibri"/>
                <w:b w:val="0"/>
                <w:i w:val="0"/>
                <w:sz w:val="18"/>
              </w:rPr>
              <w:t>Compléter acteurs WebVoice</w:t>
            </w:r>
          </w:p>
        </w:tc>
      </w:tr>
      <w:tr>
        <w:tc>
          <w:tcPr>
            <w:tcW w:type="dxa" w:w="3118"/>
          </w:tcPr>
          <w:p>
            <w:r/>
            <w:r>
              <w:rPr>
                <w:rFonts w:ascii="Calibri" w:hAnsi="Calibri" w:eastAsia="Calibri"/>
                <w:b w:val="0"/>
                <w:i w:val="0"/>
                <w:sz w:val="18"/>
              </w:rPr>
              <w:t>Communication / Timing / Objects</w:t>
            </w:r>
          </w:p>
        </w:tc>
        <w:tc>
          <w:tcPr>
            <w:tcW w:type="dxa" w:w="1984"/>
          </w:tcPr>
          <w:p>
            <w:r/>
            <w:r>
              <w:rPr>
                <w:rFonts w:ascii="Calibri" w:hAnsi="Calibri" w:eastAsia="Calibri"/>
                <w:b w:val="0"/>
                <w:i w:val="0"/>
                <w:sz w:val="18"/>
              </w:rPr>
              <w:t>Optionnel</w:t>
            </w:r>
          </w:p>
        </w:tc>
        <w:tc>
          <w:tcPr>
            <w:tcW w:type="dxa" w:w="3685"/>
          </w:tcPr>
          <w:p>
            <w:r/>
            <w:r>
              <w:rPr>
                <w:rFonts w:ascii="Calibri" w:hAnsi="Calibri" w:eastAsia="Calibri"/>
                <w:b w:val="0"/>
                <w:i w:val="0"/>
                <w:sz w:val="18"/>
              </w:rPr>
              <w:t>Uniquement si place en annexe</w:t>
            </w:r>
          </w:p>
        </w:tc>
      </w:tr>
      <w:tr>
        <w:tc>
          <w:tcPr>
            <w:tcW w:type="dxa" w:w="3118"/>
            <w:shd w:fill="F0F4F8" w:val="clear"/>
          </w:tcPr>
          <w:p>
            <w:r/>
            <w:r>
              <w:rPr>
                <w:rFonts w:ascii="Calibri" w:hAnsi="Calibri" w:eastAsia="Calibri"/>
                <w:b w:val="0"/>
                <w:i w:val="0"/>
                <w:sz w:val="18"/>
              </w:rPr>
              <w:t>Composite Structure / Profile</w:t>
            </w:r>
          </w:p>
        </w:tc>
        <w:tc>
          <w:tcPr>
            <w:tcW w:type="dxa" w:w="1984"/>
            <w:shd w:fill="F0F4F8" w:val="clear"/>
          </w:tcPr>
          <w:p>
            <w:r/>
            <w:r>
              <w:rPr>
                <w:rFonts w:ascii="Calibri" w:hAnsi="Calibri" w:eastAsia="Calibri"/>
                <w:b w:val="0"/>
                <w:i w:val="0"/>
                <w:sz w:val="18"/>
              </w:rPr>
              <w:t>Optionnel</w:t>
            </w:r>
          </w:p>
        </w:tc>
        <w:tc>
          <w:tcPr>
            <w:tcW w:type="dxa" w:w="3685"/>
            <w:shd w:fill="F0F4F8" w:val="clear"/>
          </w:tcPr>
          <w:p>
            <w:r/>
            <w:r>
              <w:rPr>
                <w:rFonts w:ascii="Calibri" w:hAnsi="Calibri" w:eastAsia="Calibri"/>
                <w:b w:val="0"/>
                <w:i w:val="0"/>
                <w:sz w:val="18"/>
              </w:rPr>
              <w:t>Ne pas produire (mention théorique)</w:t>
            </w:r>
          </w:p>
        </w:tc>
      </w:tr>
    </w:tbl>
    <w:p/>
    <w:p>
      <w:pPr>
        <w:pStyle w:val="Heading1"/>
      </w:pPr>
      <w:r>
        <w:rPr>
          <w:color w:val="1A365D"/>
        </w:rPr>
        <w:t>5. Recommandation concrète pour le rapport</w:t>
      </w:r>
    </w:p>
    <w:p>
      <w:pPr>
        <w:spacing w:after="120" w:before="0" w:line="240" w:lineRule="auto"/>
      </w:pPr>
      <w:r>
        <w:rPr>
          <w:rFonts w:ascii="Calibri" w:hAnsi="Calibri" w:eastAsia="Calibri"/>
          <w:b w:val="0"/>
          <w:i w:val="0"/>
          <w:sz w:val="22"/>
        </w:rPr>
        <w:t>Jeu minimal « rapport PFA solide » :</w:t>
      </w:r>
    </w:p>
    <w:p>
      <w:pPr>
        <w:pStyle w:val="ListNumber"/>
        <w:spacing w:after="60"/>
      </w:pPr>
      <w:r>
        <w:rPr>
          <w:rFonts w:ascii="Calibri" w:hAnsi="Calibri" w:eastAsia="Calibri"/>
          <w:b w:val="0"/>
          <w:i w:val="0"/>
          <w:sz w:val="22"/>
        </w:rPr>
        <w:t>1× Cas d'utilisation (acteurs complets).</w:t>
      </w:r>
    </w:p>
    <w:p>
      <w:pPr>
        <w:pStyle w:val="ListNumber"/>
        <w:spacing w:after="60"/>
      </w:pPr>
      <w:r>
        <w:rPr>
          <w:rFonts w:ascii="Calibri" w:hAnsi="Calibri" w:eastAsia="Calibri"/>
          <w:b w:val="0"/>
          <w:i w:val="0"/>
          <w:sz w:val="22"/>
        </w:rPr>
        <w:t>1× Classes (domaine).</w:t>
      </w:r>
    </w:p>
    <w:p>
      <w:pPr>
        <w:pStyle w:val="ListNumber"/>
        <w:spacing w:after="60"/>
      </w:pPr>
      <w:r>
        <w:rPr>
          <w:rFonts w:ascii="Calibri" w:hAnsi="Calibri" w:eastAsia="Calibri"/>
          <w:b w:val="0"/>
          <w:i w:val="0"/>
          <w:sz w:val="22"/>
        </w:rPr>
        <w:t>3× Séquences (OTP, dictée, validation/assign).</w:t>
      </w:r>
    </w:p>
    <w:p>
      <w:pPr>
        <w:pStyle w:val="ListNumber"/>
        <w:spacing w:after="60"/>
      </w:pPr>
      <w:r>
        <w:rPr>
          <w:rFonts w:ascii="Calibri" w:hAnsi="Calibri" w:eastAsia="Calibri"/>
          <w:b w:val="0"/>
          <w:i w:val="0"/>
          <w:sz w:val="22"/>
        </w:rPr>
        <w:t>1× Activité (pipeline plaidoirie).</w:t>
      </w:r>
    </w:p>
    <w:p>
      <w:pPr>
        <w:pStyle w:val="ListNumber"/>
        <w:spacing w:after="60"/>
      </w:pPr>
      <w:r>
        <w:rPr>
          <w:rFonts w:ascii="Calibri" w:hAnsi="Calibri" w:eastAsia="Calibri"/>
          <w:b w:val="0"/>
          <w:i w:val="0"/>
          <w:sz w:val="22"/>
        </w:rPr>
        <w:t>1× Déploiement (prod).</w:t>
      </w:r>
    </w:p>
    <w:p>
      <w:pPr>
        <w:pStyle w:val="ListNumber"/>
        <w:spacing w:after="60"/>
      </w:pPr>
      <w:r>
        <w:rPr>
          <w:rFonts w:ascii="Calibri" w:hAnsi="Calibri" w:eastAsia="Calibri"/>
          <w:b w:val="0"/>
          <w:i w:val="0"/>
          <w:sz w:val="22"/>
        </w:rPr>
        <w:t>1× États (PleaDraft) — fort impact pédagogique.</w:t>
      </w:r>
    </w:p>
    <w:p>
      <w:pPr>
        <w:pStyle w:val="ListNumber"/>
        <w:spacing w:after="60"/>
      </w:pPr>
      <w:r>
        <w:rPr>
          <w:rFonts w:ascii="Calibri" w:hAnsi="Calibri" w:eastAsia="Calibri"/>
          <w:b w:val="0"/>
          <w:i w:val="0"/>
          <w:sz w:val="22"/>
        </w:rPr>
        <w:t>1× Composants ou Paquetages — pour lier conception ↔ code.</w:t>
      </w:r>
    </w:p>
    <w:p>
      <w:pPr>
        <w:spacing w:after="120" w:before="0" w:line="240" w:lineRule="auto"/>
      </w:pPr>
      <w:r>
        <w:rPr>
          <w:rFonts w:ascii="Calibri" w:hAnsi="Calibri" w:eastAsia="Calibri"/>
          <w:b w:val="0"/>
          <w:i/>
          <w:sz w:val="20"/>
        </w:rPr>
        <w:t>Sources PlantUML déjà disponibles : docs/rapport-pfa/diagrams/*.puml (uc, class, seq-dictation, seq-assign, seq-otp, activity-plea, deploy-lexhub).</w:t>
      </w:r>
    </w:p>
    <w:p>
      <w:pPr>
        <w:pStyle w:val="Heading1"/>
      </w:pPr>
      <w:r>
        <w:rPr>
          <w:color w:val="1A365D"/>
        </w:rPr>
        <w:t>6. Conclusion</w:t>
      </w:r>
    </w:p>
    <w:p>
      <w:pPr>
        <w:spacing w:after="120" w:before="0" w:line="240" w:lineRule="auto"/>
      </w:pPr>
      <w:r>
        <w:rPr>
          <w:rFonts w:ascii="Calibri" w:hAnsi="Calibri" w:eastAsia="Calibri"/>
          <w:b w:val="0"/>
          <w:i w:val="0"/>
          <w:sz w:val="22"/>
        </w:rPr>
        <w:t>Le rapport LexHub couvre déjà le cœur UML (UC, classes, séquences, activité, déploiement). Les ajouts à plus forte valeur sont la machine à états des plaidoiries, un diagramme de composants/paquetages, et l'activité OCR. Les types Timing, Composite Structure et Profile restent optionnels et non indispensables au PFA.</w:t>
      </w:r>
    </w:p>
    <w:sectPr w:rsidR="00FC693F" w:rsidRPr="0006063C" w:rsidSect="00034616">
      <w:headerReference w:type="default" r:id="rId9"/>
      <w:footerReference w:type="default" r:id="rId10"/>
      <w:pgSz w:w="12240" w:h="15840"/>
      <w:pgMar w:top="1134" w:right="1134" w:bottom="1134" w:left="113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rFonts w:ascii="Calibri" w:hAnsi="Calibri" w:eastAsia="Calibri"/>
        <w:b w:val="0"/>
        <w:i/>
        <w:sz w:val="16"/>
      </w:rPr>
      <w:t>Document confidentiel — usage encadrement PFA / démonstration</w:t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right"/>
    </w:pPr>
    <w:r>
      <w:rPr>
        <w:rFonts w:ascii="Calibri" w:hAnsi="Calibri" w:eastAsia="Calibri"/>
        <w:b w:val="0"/>
        <w:i/>
        <w:color w:val="4A5568"/>
        <w:sz w:val="16"/>
      </w:rPr>
      <w:t>LexHub — PFA Douae EL ASSAL — WEBVOICE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