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Calibri" w:hAnsi="Calibri" w:eastAsia="Calibri"/>
          <w:b/>
          <w:i w:val="0"/>
          <w:sz w:val="24"/>
        </w:rPr>
        <w:t>LexHub / Avocat AI Assistance</w:t>
      </w:r>
    </w:p>
    <w:p>
      <w:pPr>
        <w:spacing w:after="40" w:before="0" w:line="240" w:lineRule="auto"/>
        <w:jc w:val="center"/>
      </w:pPr>
      <w:r>
        <w:rPr>
          <w:rFonts w:ascii="Calibri" w:hAnsi="Calibri" w:eastAsia="Calibri"/>
          <w:b w:val="0"/>
          <w:i w:val="0"/>
          <w:sz w:val="20"/>
        </w:rPr>
        <w:t>Stage PFA — WEBVOICE — Encadrant entreprise : Hatim Benhaddou</w:t>
      </w:r>
    </w:p>
    <w:p>
      <w:pPr>
        <w:spacing w:after="240" w:before="0" w:line="240" w:lineRule="auto"/>
        <w:jc w:val="center"/>
      </w:pPr>
      <w:r>
        <w:rPr>
          <w:rFonts w:ascii="Calibri" w:hAnsi="Calibri" w:eastAsia="Calibri"/>
          <w:b w:val="0"/>
          <w:i w:val="0"/>
          <w:sz w:val="20"/>
        </w:rPr>
        <w:t>Stagiaire : Douae EL ASSAL</w:t>
      </w:r>
    </w:p>
    <w:p>
      <w:pPr>
        <w:spacing w:after="80" w:before="0" w:line="240" w:lineRule="auto"/>
        <w:jc w:val="center"/>
      </w:pPr>
      <w:r>
        <w:rPr>
          <w:rFonts w:ascii="Calibri" w:hAnsi="Calibri" w:eastAsia="Calibri"/>
          <w:b/>
          <w:i w:val="0"/>
          <w:sz w:val="32"/>
        </w:rPr>
        <w:t>Scripts de plaidoirie arabes + comptes de test LexHub</w:t>
      </w:r>
    </w:p>
    <w:p>
      <w:pPr>
        <w:spacing w:after="280" w:before="0" w:line="240" w:lineRule="auto"/>
        <w:jc w:val="center"/>
      </w:pPr>
      <w:r>
        <w:rPr>
          <w:rFonts w:ascii="Calibri" w:hAnsi="Calibri" w:eastAsia="Calibri"/>
          <w:b w:val="0"/>
          <w:i/>
          <w:sz w:val="20"/>
        </w:rPr>
        <w:t>Livrable démo STT / détecteur de contradictions — https://lexhub.space</w:t>
      </w:r>
    </w:p>
    <w:p>
      <w:pPr>
        <w:pStyle w:val="Heading1"/>
      </w:pPr>
      <w:r>
        <w:rPr>
          <w:color w:val="1A365D"/>
        </w:rPr>
        <w:t>Partie A — Comptes de test</w:t>
      </w:r>
    </w:p>
    <w:p>
      <w:pPr>
        <w:spacing w:after="120" w:before="0" w:line="240" w:lineRule="auto"/>
      </w:pPr>
      <w:r>
        <w:rPr>
          <w:rFonts w:ascii="Calibri" w:hAnsi="Calibri" w:eastAsia="Calibri"/>
          <w:b/>
          <w:i w:val="0"/>
          <w:sz w:val="22"/>
        </w:rPr>
        <w:t>URL : https://lexhub.space</w:t>
      </w:r>
    </w:p>
    <w:p>
      <w:pPr>
        <w:spacing w:after="120" w:before="0" w:line="240" w:lineRule="auto"/>
      </w:pPr>
      <w:r>
        <w:rPr>
          <w:rFonts w:ascii="Calibri" w:hAnsi="Calibri" w:eastAsia="Calibri"/>
          <w:b w:val="0"/>
          <w:i/>
          <w:sz w:val="20"/>
        </w:rPr>
        <w:t>Avertissement important : ces identifiants sont destinés exclusivement aux tests PFA et aux démonstrations. Ne pas les publier hors cadre académique / entreprise, ni les réutiliser comme mots de passe réels.</w:t>
      </w:r>
    </w:p>
    <w:tbl>
      <w:tblPr>
        <w:tblStyle w:val="TableGrid"/>
        <w:tblW w:type="auto" w:w="0"/>
        <w:jc w:val="center"/>
        <w:tblLook w:firstColumn="1" w:firstRow="1" w:lastColumn="0" w:lastRow="0" w:noHBand="0" w:noVBand="1" w:val="04A0"/>
      </w:tblPr>
      <w:tblGrid>
        <w:gridCol w:w="3324"/>
        <w:gridCol w:w="3324"/>
        <w:gridCol w:w="3324"/>
      </w:tblGrid>
      <w:tr>
        <w:tc>
          <w:tcPr>
            <w:tcW w:type="dxa" w:w="3118"/>
            <w:shd w:fill="1A365D" w:val="clear"/>
          </w:tcPr>
          <w:p>
            <w:pPr>
              <w:jc w:val="center"/>
            </w:pPr>
            <w:r/>
            <w:r>
              <w:rPr>
                <w:rFonts w:ascii="Calibri" w:hAnsi="Calibri" w:eastAsia="Calibri"/>
                <w:b/>
                <w:i w:val="0"/>
                <w:color w:val="FFFFFF"/>
                <w:sz w:val="20"/>
              </w:rPr>
              <w:t>E-mail</w:t>
            </w:r>
          </w:p>
        </w:tc>
        <w:tc>
          <w:tcPr>
            <w:tcW w:type="dxa" w:w="2268"/>
            <w:shd w:fill="1A365D" w:val="clear"/>
          </w:tcPr>
          <w:p>
            <w:pPr>
              <w:jc w:val="center"/>
            </w:pPr>
            <w:r/>
            <w:r>
              <w:rPr>
                <w:rFonts w:ascii="Calibri" w:hAnsi="Calibri" w:eastAsia="Calibri"/>
                <w:b/>
                <w:i w:val="0"/>
                <w:color w:val="FFFFFF"/>
                <w:sz w:val="20"/>
              </w:rPr>
              <w:t>Mot de passe</w:t>
            </w:r>
          </w:p>
        </w:tc>
        <w:tc>
          <w:tcPr>
            <w:tcW w:type="dxa" w:w="3402"/>
            <w:shd w:fill="1A365D" w:val="clear"/>
          </w:tcPr>
          <w:p>
            <w:pPr>
              <w:jc w:val="center"/>
            </w:pPr>
            <w:r/>
            <w:r>
              <w:rPr>
                <w:rFonts w:ascii="Calibri" w:hAnsi="Calibri" w:eastAsia="Calibri"/>
                <w:b/>
                <w:i w:val="0"/>
                <w:color w:val="FFFFFF"/>
                <w:sz w:val="20"/>
              </w:rPr>
              <w:t>Usage démo</w:t>
            </w:r>
          </w:p>
        </w:tc>
      </w:tr>
      <w:tr>
        <w:tc>
          <w:tcPr>
            <w:tcW w:type="dxa" w:w="3118"/>
          </w:tcPr>
          <w:p>
            <w:r/>
            <w:r>
              <w:rPr>
                <w:rFonts w:ascii="Calibri" w:hAnsi="Calibri" w:eastAsia="Calibri"/>
                <w:b w:val="0"/>
                <w:i w:val="0"/>
                <w:sz w:val="18"/>
              </w:rPr>
              <w:t>demo@sanad.ma</w:t>
            </w:r>
          </w:p>
        </w:tc>
        <w:tc>
          <w:tcPr>
            <w:tcW w:type="dxa" w:w="2268"/>
          </w:tcPr>
          <w:p>
            <w:r/>
            <w:r>
              <w:rPr>
                <w:rFonts w:ascii="Calibri" w:hAnsi="Calibri" w:eastAsia="Calibri"/>
                <w:b w:val="0"/>
                <w:i w:val="0"/>
                <w:sz w:val="18"/>
              </w:rPr>
              <w:t>Sanad2026!</w:t>
            </w:r>
          </w:p>
        </w:tc>
        <w:tc>
          <w:tcPr>
            <w:tcW w:type="dxa" w:w="3402"/>
          </w:tcPr>
          <w:p>
            <w:r/>
            <w:r>
              <w:rPr>
                <w:rFonts w:ascii="Calibri" w:hAnsi="Calibri" w:eastAsia="Calibri"/>
                <w:b w:val="0"/>
                <w:i w:val="0"/>
                <w:sz w:val="18"/>
              </w:rPr>
              <w:t>Compte démo général</w:t>
            </w:r>
          </w:p>
        </w:tc>
      </w:tr>
      <w:tr>
        <w:tc>
          <w:tcPr>
            <w:tcW w:type="dxa" w:w="3118"/>
            <w:shd w:fill="F0F4F8" w:val="clear"/>
          </w:tcPr>
          <w:p>
            <w:r/>
            <w:r>
              <w:rPr>
                <w:rFonts w:ascii="Calibri" w:hAnsi="Calibri" w:eastAsia="Calibri"/>
                <w:b w:val="0"/>
                <w:i w:val="0"/>
                <w:sz w:val="18"/>
              </w:rPr>
              <w:t>avocat@sanad.ma</w:t>
            </w:r>
          </w:p>
        </w:tc>
        <w:tc>
          <w:tcPr>
            <w:tcW w:type="dxa" w:w="2268"/>
            <w:shd w:fill="F0F4F8" w:val="clear"/>
          </w:tcPr>
          <w:p>
            <w:r/>
            <w:r>
              <w:rPr>
                <w:rFonts w:ascii="Calibri" w:hAnsi="Calibri" w:eastAsia="Calibri"/>
                <w:b w:val="0"/>
                <w:i w:val="0"/>
                <w:sz w:val="18"/>
              </w:rPr>
              <w:t>Sanad2026!</w:t>
            </w:r>
          </w:p>
        </w:tc>
        <w:tc>
          <w:tcPr>
            <w:tcW w:type="dxa" w:w="3402"/>
            <w:shd w:fill="F0F4F8" w:val="clear"/>
          </w:tcPr>
          <w:p>
            <w:r/>
            <w:r>
              <w:rPr>
                <w:rFonts w:ascii="Calibri" w:hAnsi="Calibri" w:eastAsia="Calibri"/>
                <w:b w:val="0"/>
                <w:i w:val="0"/>
                <w:sz w:val="18"/>
              </w:rPr>
              <w:t>Parcours avocat (dictée, validation)</w:t>
            </w:r>
          </w:p>
        </w:tc>
      </w:tr>
      <w:tr>
        <w:tc>
          <w:tcPr>
            <w:tcW w:type="dxa" w:w="3118"/>
          </w:tcPr>
          <w:p>
            <w:r/>
            <w:r>
              <w:rPr>
                <w:rFonts w:ascii="Calibri" w:hAnsi="Calibri" w:eastAsia="Calibri"/>
                <w:b w:val="0"/>
                <w:i w:val="0"/>
                <w:sz w:val="18"/>
              </w:rPr>
              <w:t>assistant@sanad.ma</w:t>
            </w:r>
          </w:p>
        </w:tc>
        <w:tc>
          <w:tcPr>
            <w:tcW w:type="dxa" w:w="2268"/>
          </w:tcPr>
          <w:p>
            <w:r/>
            <w:r>
              <w:rPr>
                <w:rFonts w:ascii="Calibri" w:hAnsi="Calibri" w:eastAsia="Calibri"/>
                <w:b w:val="0"/>
                <w:i w:val="0"/>
                <w:sz w:val="18"/>
              </w:rPr>
              <w:t>Sanad2026!</w:t>
            </w:r>
          </w:p>
        </w:tc>
        <w:tc>
          <w:tcPr>
            <w:tcW w:type="dxa" w:w="3402"/>
          </w:tcPr>
          <w:p>
            <w:r/>
            <w:r>
              <w:rPr>
                <w:rFonts w:ascii="Calibri" w:hAnsi="Calibri" w:eastAsia="Calibri"/>
                <w:b w:val="0"/>
                <w:i w:val="0"/>
                <w:sz w:val="18"/>
              </w:rPr>
              <w:t>Vue assistant (pièces validées)</w:t>
            </w:r>
          </w:p>
        </w:tc>
      </w:tr>
      <w:tr>
        <w:tc>
          <w:tcPr>
            <w:tcW w:type="dxa" w:w="3118"/>
            <w:shd w:fill="F0F4F8" w:val="clear"/>
          </w:tcPr>
          <w:p>
            <w:r/>
            <w:r>
              <w:rPr>
                <w:rFonts w:ascii="Calibri" w:hAnsi="Calibri" w:eastAsia="Calibri"/>
                <w:b w:val="0"/>
                <w:i w:val="0"/>
                <w:sz w:val="18"/>
              </w:rPr>
              <w:t>admin@webvoice.ma</w:t>
            </w:r>
          </w:p>
        </w:tc>
        <w:tc>
          <w:tcPr>
            <w:tcW w:type="dxa" w:w="2268"/>
            <w:shd w:fill="F0F4F8" w:val="clear"/>
          </w:tcPr>
          <w:p>
            <w:r/>
            <w:r>
              <w:rPr>
                <w:rFonts w:ascii="Calibri" w:hAnsi="Calibri" w:eastAsia="Calibri"/>
                <w:b w:val="0"/>
                <w:i w:val="0"/>
                <w:sz w:val="18"/>
              </w:rPr>
              <w:t>WebVoice2026!</w:t>
            </w:r>
          </w:p>
        </w:tc>
        <w:tc>
          <w:tcPr>
            <w:tcW w:type="dxa" w:w="3402"/>
            <w:shd w:fill="F0F4F8" w:val="clear"/>
          </w:tcPr>
          <w:p>
            <w:r/>
            <w:r>
              <w:rPr>
                <w:rFonts w:ascii="Calibri" w:hAnsi="Calibri" w:eastAsia="Calibri"/>
                <w:b w:val="0"/>
                <w:i w:val="0"/>
                <w:sz w:val="18"/>
              </w:rPr>
              <w:t>Admin plateforme WebVoice</w:t>
            </w:r>
          </w:p>
        </w:tc>
      </w:tr>
      <w:tr>
        <w:tc>
          <w:tcPr>
            <w:tcW w:type="dxa" w:w="3118"/>
          </w:tcPr>
          <w:p>
            <w:r/>
            <w:r>
              <w:rPr>
                <w:rFonts w:ascii="Calibri" w:hAnsi="Calibri" w:eastAsia="Calibri"/>
                <w:b w:val="0"/>
                <w:i w:val="0"/>
                <w:sz w:val="18"/>
              </w:rPr>
              <w:t>test@cabinet-rabat.ma</w:t>
            </w:r>
          </w:p>
        </w:tc>
        <w:tc>
          <w:tcPr>
            <w:tcW w:type="dxa" w:w="2268"/>
          </w:tcPr>
          <w:p>
            <w:r/>
            <w:r>
              <w:rPr>
                <w:rFonts w:ascii="Calibri" w:hAnsi="Calibri" w:eastAsia="Calibri"/>
                <w:b w:val="0"/>
                <w:i w:val="0"/>
                <w:sz w:val="18"/>
              </w:rPr>
              <w:t>Test2026!</w:t>
            </w:r>
          </w:p>
        </w:tc>
        <w:tc>
          <w:tcPr>
            <w:tcW w:type="dxa" w:w="3402"/>
          </w:tcPr>
          <w:p>
            <w:r/>
            <w:r>
              <w:rPr>
                <w:rFonts w:ascii="Calibri" w:hAnsi="Calibri" w:eastAsia="Calibri"/>
                <w:b w:val="0"/>
                <w:i w:val="0"/>
                <w:sz w:val="18"/>
              </w:rPr>
              <w:t>Compte test (si encore valide)</w:t>
            </w:r>
          </w:p>
        </w:tc>
      </w:tr>
    </w:tbl>
    <w:p/>
    <w:p>
      <w:pPr>
        <w:pStyle w:val="Heading1"/>
      </w:pPr>
      <w:r>
        <w:rPr>
          <w:color w:val="1A365D"/>
        </w:rPr>
        <w:t>Protocole de test micro (STT arabe)</w:t>
      </w:r>
    </w:p>
    <w:p>
      <w:pPr>
        <w:pStyle w:val="ListNumber"/>
        <w:spacing w:after="60"/>
      </w:pPr>
      <w:r>
        <w:rPr>
          <w:rFonts w:ascii="Calibri" w:hAnsi="Calibri" w:eastAsia="Calibri"/>
          <w:b w:val="0"/>
          <w:i w:val="0"/>
          <w:sz w:val="22"/>
        </w:rPr>
        <w:t>Casque micro ou micro intégré de qualité ; pièce calme.</w:t>
      </w:r>
    </w:p>
    <w:p>
      <w:pPr>
        <w:pStyle w:val="ListNumber"/>
        <w:spacing w:after="60"/>
      </w:pPr>
      <w:r>
        <w:rPr>
          <w:rFonts w:ascii="Calibri" w:hAnsi="Calibri" w:eastAsia="Calibri"/>
          <w:b w:val="0"/>
          <w:i w:val="0"/>
          <w:sz w:val="22"/>
        </w:rPr>
        <w:t>Navigateur Chrome/Edge ; autoriser le micro sur https://lexhub.space.</w:t>
      </w:r>
    </w:p>
    <w:p>
      <w:pPr>
        <w:pStyle w:val="ListNumber"/>
        <w:spacing w:after="60"/>
      </w:pPr>
      <w:r>
        <w:rPr>
          <w:rFonts w:ascii="Calibri" w:hAnsi="Calibri" w:eastAsia="Calibri"/>
          <w:b w:val="0"/>
          <w:i w:val="0"/>
          <w:sz w:val="22"/>
        </w:rPr>
        <w:t>Ouvrir l'atelier Plaidoirie → étape Transcription.</w:t>
      </w:r>
    </w:p>
    <w:p>
      <w:pPr>
        <w:pStyle w:val="ListNumber"/>
        <w:spacing w:after="60"/>
      </w:pPr>
      <w:r>
        <w:rPr>
          <w:rFonts w:ascii="Calibri" w:hAnsi="Calibri" w:eastAsia="Calibri"/>
          <w:b w:val="0"/>
          <w:i w:val="0"/>
          <w:sz w:val="22"/>
        </w:rPr>
        <w:t>Choisir un script ci-dessous ; lire à voix haute, débit modéré, articuler les termes juridiques.</w:t>
      </w:r>
    </w:p>
    <w:p>
      <w:pPr>
        <w:pStyle w:val="ListNumber"/>
        <w:spacing w:after="60"/>
      </w:pPr>
      <w:r>
        <w:rPr>
          <w:rFonts w:ascii="Calibri" w:hAnsi="Calibri" w:eastAsia="Calibri"/>
          <w:b w:val="0"/>
          <w:i w:val="0"/>
          <w:sz w:val="22"/>
        </w:rPr>
        <w:t>Éviter les digressions ; une pause courte entre les phrases longues.</w:t>
      </w:r>
    </w:p>
    <w:p>
      <w:pPr>
        <w:pStyle w:val="ListNumber"/>
        <w:spacing w:after="60"/>
      </w:pPr>
      <w:r>
        <w:rPr>
          <w:rFonts w:ascii="Calibri" w:hAnsi="Calibri" w:eastAsia="Calibri"/>
          <w:b w:val="0"/>
          <w:i w:val="0"/>
          <w:sz w:val="22"/>
        </w:rPr>
        <w:t>Arrêter l'enregistrement ; attendre la transcription.</w:t>
      </w:r>
    </w:p>
    <w:p>
      <w:pPr>
        <w:pStyle w:val="ListNumber"/>
        <w:spacing w:after="60"/>
      </w:pPr>
      <w:r>
        <w:rPr>
          <w:rFonts w:ascii="Calibri" w:hAnsi="Calibri" w:eastAsia="Calibri"/>
          <w:b w:val="0"/>
          <w:i w:val="0"/>
          <w:sz w:val="22"/>
        </w:rPr>
        <w:t>Vérifier les marques orange (incertitude STT) et corriger si besoin.</w:t>
      </w:r>
    </w:p>
    <w:p>
      <w:pPr>
        <w:pStyle w:val="ListNumber"/>
        <w:spacing w:after="60"/>
      </w:pPr>
      <w:r>
        <w:rPr>
          <w:rFonts w:ascii="Calibri" w:hAnsi="Calibri" w:eastAsia="Calibri"/>
          <w:b w:val="0"/>
          <w:i w:val="0"/>
          <w:sz w:val="22"/>
        </w:rPr>
        <w:t>Lancer la correction de forme fusḥā ; comparer au texte attendu.</w:t>
      </w:r>
    </w:p>
    <w:p>
      <w:pPr>
        <w:pStyle w:val="ListNumber"/>
        <w:spacing w:after="60"/>
      </w:pPr>
      <w:r>
        <w:rPr>
          <w:rFonts w:ascii="Calibri" w:hAnsi="Calibri" w:eastAsia="Calibri"/>
          <w:b w:val="0"/>
          <w:i w:val="0"/>
          <w:sz w:val="22"/>
        </w:rPr>
        <w:t>Optionnel : réutiliser la « variante avec contradiction » pour tester le détecteur.</w:t>
      </w:r>
    </w:p>
    <w:p>
      <w:pPr>
        <w:pStyle w:val="ListNumber"/>
        <w:spacing w:after="60"/>
      </w:pPr>
      <w:r>
        <w:rPr>
          <w:rFonts w:ascii="Calibri" w:hAnsi="Calibri" w:eastAsia="Calibri"/>
          <w:b w:val="0"/>
          <w:i w:val="0"/>
          <w:sz w:val="22"/>
        </w:rPr>
        <w:t>Contrôler les mots-clés listés sous chaque script.</w:t>
      </w:r>
    </w:p>
    <w:p>
      <w:pPr>
        <w:pStyle w:val="Heading1"/>
      </w:pPr>
      <w:r>
        <w:rPr>
          <w:color w:val="1A365D"/>
        </w:rPr>
        <w:t>Partie B — Scripts de plaidoirie à lire (arabe)</w:t>
      </w:r>
    </w:p>
    <w:p>
      <w:pPr>
        <w:spacing w:after="120" w:before="0" w:line="240" w:lineRule="auto"/>
      </w:pPr>
      <w:r>
        <w:rPr>
          <w:rFonts w:ascii="Calibri" w:hAnsi="Calibri" w:eastAsia="Calibri"/>
          <w:b w:val="0"/>
          <w:i w:val="0"/>
          <w:sz w:val="22"/>
        </w:rPr>
        <w:t>Six scripts distincts (~150–350 mots), style judiciaire clair (fusḥā / arabe de prétoire). Prêts à être dictés au micro. Pour chaque script : titre, contexte FR, texte arabe RTL, mots-clés attendus, variante contradiction optionnelle.</w:t>
      </w:r>
    </w:p>
    <w:p>
      <w:pPr>
        <w:pStyle w:val="Heading2"/>
      </w:pPr>
      <w:r>
        <w:rPr>
          <w:color w:val="1A365D"/>
        </w:rPr>
        <w:t>Script 1 — Divorce et garde d'enfants (حضانة)</w:t>
      </w:r>
    </w:p>
    <w:p>
      <w:pPr>
        <w:spacing w:after="120" w:before="0" w:line="240" w:lineRule="auto"/>
      </w:pPr>
      <w:r>
        <w:rPr>
          <w:rFonts w:ascii="Calibri" w:hAnsi="Calibri" w:eastAsia="Calibri"/>
          <w:b/>
          <w:i w:val="0"/>
          <w:sz w:val="22"/>
        </w:rPr>
        <w:t>Domaine : Droit de la famille</w:t>
      </w:r>
    </w:p>
    <w:p>
      <w:pPr>
        <w:spacing w:after="40" w:before="0" w:line="240" w:lineRule="auto"/>
      </w:pPr>
      <w:r>
        <w:rPr>
          <w:rFonts w:ascii="Calibri" w:hAnsi="Calibri" w:eastAsia="Calibri"/>
          <w:b/>
          <w:i w:val="0"/>
          <w:sz w:val="20"/>
        </w:rPr>
        <w:t>Contexte :</w:t>
      </w:r>
    </w:p>
    <w:p>
      <w:pPr>
        <w:spacing w:after="120" w:before="0" w:line="240" w:lineRule="auto"/>
      </w:pPr>
      <w:r>
        <w:rPr>
          <w:rFonts w:ascii="Calibri" w:hAnsi="Calibri" w:eastAsia="Calibri"/>
          <w:b w:val="0"/>
          <w:i w:val="0"/>
          <w:sz w:val="20"/>
        </w:rPr>
        <w:t>L'avocat représente la mère dans une demande de divorce pour discorde et de fixation de la garde. Le père contestait la résidence habituelle des enfants. Script destiné à tester STT + mots-clés familiaux.</w:t>
      </w:r>
    </w:p>
    <w:p>
      <w:pPr>
        <w:spacing w:after="80" w:before="0" w:line="240" w:lineRule="auto"/>
      </w:pPr>
      <w:r>
        <w:rPr>
          <w:rFonts w:ascii="Calibri" w:hAnsi="Calibri" w:eastAsia="Calibri"/>
          <w:b/>
          <w:i w:val="0"/>
          <w:sz w:val="20"/>
        </w:rPr>
        <w:t>Texte arabe à lire :</w:t>
      </w:r>
    </w:p>
    <w:p>
      <w:pPr>
        <w:bidi w:val="1"/>
        <w:spacing w:after="160" w:before="80" w:line="324" w:lineRule="auto"/>
        <w:jc w:val="right"/>
      </w:pPr>
      <w:r>
        <w:rPr>
          <w:rFonts w:ascii="Traditional Arabic" w:hAnsi="Traditional Arabic" w:cs="Traditional Arabic"/>
          <w:sz w:val="26"/>
          <w:szCs w:val="26"/>
        </w:rPr>
        <w:t>بسم الله الرحمن الرحيم، السيد الرئيس، السادة المستشارون، أتشرف بالدفاع عن موكلتي السيدة فاطمة بنعلي في ملف الطلاق للشقاق وطلب الحضانة. تزوج الطرفان بتاريخ الخامس عشر من مارس سنة ألفين وثمانية عشر، وأنجبا طفلين قاصرين: يوسف في السابعة من عمره، وسارة في الخامسة. وقد استحال استمرار العشرة الزوجية بسبب الخلاف المستمر وإهمال الزوج لواجباته المادية والمعنوية. إن موكلتي هي من يتولى يوميا تربية الأطفال ومتابعة دراستهم وعلاجهم، بينما يقيم المدعى عليه في مدينة أخرى ولا يزورهم إلا نادرا. وطبقا لمقتضيات مدونة الأسرة، فإن مصلحة المحضون هي المعيار الأساسي في إسناد الحضانة. لذلك نلتمس الحكم بتطليق موكلتي للشقاق، وإسناد حضانة الطفلين إليها، مع تحديد زيارة منظمة للأب لا تضر باستقرارهما المدرسي، والحكم بنفقة شهرية كافية لتغطية السكن والغذاء والتعليم، مع شمول الحكم بالنفاذ المعجل وتحميل المدعى عليه الصائر. حفظ الله عدالتكم والسلام عليكم.</w:t>
      </w:r>
    </w:p>
    <w:p>
      <w:pPr>
        <w:spacing w:after="40" w:before="0" w:line="240" w:lineRule="auto"/>
      </w:pPr>
      <w:r>
        <w:rPr>
          <w:rFonts w:ascii="Calibri" w:hAnsi="Calibri" w:eastAsia="Calibri"/>
          <w:b/>
          <w:i w:val="0"/>
          <w:sz w:val="20"/>
        </w:rPr>
        <w:t>Mots-clés attendus après transcription :</w:t>
      </w:r>
    </w:p>
    <w:p>
      <w:pPr>
        <w:bidi w:val="1"/>
        <w:spacing w:after="120" w:before="80" w:line="324" w:lineRule="auto"/>
        <w:jc w:val="right"/>
      </w:pPr>
      <w:r>
        <w:rPr>
          <w:rFonts w:ascii="Traditional Arabic" w:hAnsi="Traditional Arabic" w:cs="Traditional Arabic"/>
          <w:sz w:val="24"/>
          <w:szCs w:val="24"/>
        </w:rPr>
        <w:t>طلاق، شقاق، حضانة، مدونة الأسرة، نفقة، مصلحة المحضون، زيارة، طفلين</w:t>
      </w:r>
    </w:p>
    <w:p>
      <w:pPr>
        <w:spacing w:after="40" w:before="0" w:line="240" w:lineRule="auto"/>
      </w:pPr>
      <w:r>
        <w:rPr>
          <w:rFonts w:ascii="Calibri" w:hAnsi="Calibri" w:eastAsia="Calibri"/>
          <w:b/>
          <w:i w:val="0"/>
          <w:sz w:val="20"/>
        </w:rPr>
        <w:t>Variante avec contradiction (test détecteur) :</w:t>
      </w:r>
    </w:p>
    <w:p>
      <w:pPr>
        <w:spacing w:after="120" w:before="0" w:line="240" w:lineRule="auto"/>
      </w:pPr>
      <w:r>
        <w:rPr>
          <w:rFonts w:ascii="Calibri" w:hAnsi="Calibri" w:eastAsia="Calibri"/>
          <w:b w:val="0"/>
          <w:i/>
          <w:sz w:val="20"/>
        </w:rPr>
        <w:t>Variante avec contradiction : remplacer « يوسف في السابعة » par « يوسف في التاسعة » tout en gardant plus loin « الطفلان دون السادسة » — incohérence d'âge volontaire pour tester le détecteur.</w:t>
      </w:r>
    </w:p>
    <w:p>
      <w:pPr>
        <w:pStyle w:val="Heading2"/>
      </w:pPr>
      <w:r>
        <w:rPr>
          <w:color w:val="1A365D"/>
        </w:rPr>
        <w:t>Script 2 — Contrat de travail / licenciement abusif (فصل تعسفي)</w:t>
      </w:r>
    </w:p>
    <w:p>
      <w:pPr>
        <w:spacing w:after="120" w:before="0" w:line="240" w:lineRule="auto"/>
      </w:pPr>
      <w:r>
        <w:rPr>
          <w:rFonts w:ascii="Calibri" w:hAnsi="Calibri" w:eastAsia="Calibri"/>
          <w:b/>
          <w:i w:val="0"/>
          <w:sz w:val="22"/>
        </w:rPr>
        <w:t>Domaine : Droit du travail</w:t>
      </w:r>
    </w:p>
    <w:p>
      <w:pPr>
        <w:spacing w:after="40" w:before="0" w:line="240" w:lineRule="auto"/>
      </w:pPr>
      <w:r>
        <w:rPr>
          <w:rFonts w:ascii="Calibri" w:hAnsi="Calibri" w:eastAsia="Calibri"/>
          <w:b/>
          <w:i w:val="0"/>
          <w:sz w:val="20"/>
        </w:rPr>
        <w:t>Contexte :</w:t>
      </w:r>
    </w:p>
    <w:p>
      <w:pPr>
        <w:spacing w:after="120" w:before="0" w:line="240" w:lineRule="auto"/>
      </w:pPr>
      <w:r>
        <w:rPr>
          <w:rFonts w:ascii="Calibri" w:hAnsi="Calibri" w:eastAsia="Calibri"/>
          <w:b w:val="0"/>
          <w:i w:val="0"/>
          <w:sz w:val="20"/>
        </w:rPr>
        <w:t>Salarié licencié sans procédure ni motif réel. Demande de dommages-intérêts et rappel de salaires. Domaine labor pour STT juridique social.</w:t>
      </w:r>
    </w:p>
    <w:p>
      <w:pPr>
        <w:spacing w:after="80" w:before="0" w:line="240" w:lineRule="auto"/>
      </w:pPr>
      <w:r>
        <w:rPr>
          <w:rFonts w:ascii="Calibri" w:hAnsi="Calibri" w:eastAsia="Calibri"/>
          <w:b/>
          <w:i w:val="0"/>
          <w:sz w:val="20"/>
        </w:rPr>
        <w:t>Texte arabe à lire :</w:t>
      </w:r>
    </w:p>
    <w:p>
      <w:pPr>
        <w:bidi w:val="1"/>
        <w:spacing w:after="160" w:before="80" w:line="324" w:lineRule="auto"/>
        <w:jc w:val="right"/>
      </w:pPr>
      <w:r>
        <w:rPr>
          <w:rFonts w:ascii="Traditional Arabic" w:hAnsi="Traditional Arabic" w:cs="Traditional Arabic"/>
          <w:sz w:val="26"/>
          <w:szCs w:val="26"/>
        </w:rPr>
        <w:t>السيد الرئيس، حضرات المستشارين، أدافع عن السيد كريم العلوي الذي اشتغل لدى شركة النور للخدمات بعقد شغل غير محدد المدة منذ فاتح يناير سنة ألفين وعشرين، بصفته تقنيا متخصصا، وبأجر شهري صاف قدره ستة آلاف درهم. وفي يوم العاشر من شتنبر سنة ألفين وأربعة وعشرين، فوجئ بقرار الفصل الشفوي دون استفسار كتابي ودون احترام مسطرة التأديب المنصوص عليها في مدونة الشغل. لم يثبت المشغل أي خطأ جسيم، ولم يمكن الأجير من الدفاع عن نفسه، كما لم يؤد له مستحقاته من أجرة غشت وتعويض عن الفصل والعطلة السنوية. إن هذا الفصل يعد فصلا تعسفيا موجبا للتعويض. لذلك نلتمس الحكم بإفراغ طابعه التعسفي، وأداء أجرة الشهر غير المؤدى، والتعويض عن الإخطار، والتعويض عن الضرر المادي والمعنوي بما لا يقل عن أجرة ستة أشهر، مع تسليم شهادة العمل وكشف الحساب، وشمول الحكم بالنفاذ المعجل وتحميل المدعى عليها الصائر. والسلام عليكم ورحمة الله.</w:t>
      </w:r>
    </w:p>
    <w:p>
      <w:pPr>
        <w:spacing w:after="40" w:before="0" w:line="240" w:lineRule="auto"/>
      </w:pPr>
      <w:r>
        <w:rPr>
          <w:rFonts w:ascii="Calibri" w:hAnsi="Calibri" w:eastAsia="Calibri"/>
          <w:b/>
          <w:i w:val="0"/>
          <w:sz w:val="20"/>
        </w:rPr>
        <w:t>Mots-clés attendus après transcription :</w:t>
      </w:r>
    </w:p>
    <w:p>
      <w:pPr>
        <w:bidi w:val="1"/>
        <w:spacing w:after="120" w:before="80" w:line="324" w:lineRule="auto"/>
        <w:jc w:val="right"/>
      </w:pPr>
      <w:r>
        <w:rPr>
          <w:rFonts w:ascii="Traditional Arabic" w:hAnsi="Traditional Arabic" w:cs="Traditional Arabic"/>
          <w:sz w:val="24"/>
          <w:szCs w:val="24"/>
        </w:rPr>
        <w:t>مدونة الشغل، فصل تعسفي، أجير، أجرة، إخطار، شهادة العمل، خطأ جسيم</w:t>
      </w:r>
    </w:p>
    <w:p>
      <w:pPr>
        <w:spacing w:after="40" w:before="0" w:line="240" w:lineRule="auto"/>
      </w:pPr>
      <w:r>
        <w:rPr>
          <w:rFonts w:ascii="Calibri" w:hAnsi="Calibri" w:eastAsia="Calibri"/>
          <w:b/>
          <w:i w:val="0"/>
          <w:sz w:val="20"/>
        </w:rPr>
        <w:t>Variante avec contradiction (test détecteur) :</w:t>
      </w:r>
    </w:p>
    <w:p>
      <w:pPr>
        <w:spacing w:after="120" w:before="0" w:line="240" w:lineRule="auto"/>
      </w:pPr>
      <w:r>
        <w:rPr>
          <w:rFonts w:ascii="Calibri" w:hAnsi="Calibri" w:eastAsia="Calibri"/>
          <w:b w:val="0"/>
          <w:i/>
          <w:sz w:val="20"/>
        </w:rPr>
        <w:t>Variante avec contradiction : indiquer d'abord « أجر شهري ستة آلاف درهم » puis « أجره لم يتجاوز أربعة آلاف درهم طيلة مدة العمل » — contradiction de montant.</w:t>
      </w:r>
    </w:p>
    <w:p>
      <w:pPr>
        <w:pStyle w:val="Heading2"/>
      </w:pPr>
      <w:r>
        <w:rPr>
          <w:color w:val="1A365D"/>
        </w:rPr>
        <w:t>Script 3 — Accident de circulation / indemnisation (تعويض)</w:t>
      </w:r>
    </w:p>
    <w:p>
      <w:pPr>
        <w:spacing w:after="120" w:before="0" w:line="240" w:lineRule="auto"/>
      </w:pPr>
      <w:r>
        <w:rPr>
          <w:rFonts w:ascii="Calibri" w:hAnsi="Calibri" w:eastAsia="Calibri"/>
          <w:b/>
          <w:i w:val="0"/>
          <w:sz w:val="22"/>
        </w:rPr>
        <w:t>Domaine : Responsabilité civile / accidents</w:t>
      </w:r>
    </w:p>
    <w:p>
      <w:pPr>
        <w:spacing w:after="40" w:before="0" w:line="240" w:lineRule="auto"/>
      </w:pPr>
      <w:r>
        <w:rPr>
          <w:rFonts w:ascii="Calibri" w:hAnsi="Calibri" w:eastAsia="Calibri"/>
          <w:b/>
          <w:i w:val="0"/>
          <w:sz w:val="20"/>
        </w:rPr>
        <w:t>Contexte :</w:t>
      </w:r>
    </w:p>
    <w:p>
      <w:pPr>
        <w:spacing w:after="120" w:before="0" w:line="240" w:lineRule="auto"/>
      </w:pPr>
      <w:r>
        <w:rPr>
          <w:rFonts w:ascii="Calibri" w:hAnsi="Calibri" w:eastAsia="Calibri"/>
          <w:b w:val="0"/>
          <w:i w:val="0"/>
          <w:sz w:val="20"/>
        </w:rPr>
        <w:t>Victime piétonne heurtée par un véhicule. Demande d'expertise et d'indemnisation corporelle. Test STT médical-juridique.</w:t>
      </w:r>
    </w:p>
    <w:p>
      <w:pPr>
        <w:spacing w:after="80" w:before="0" w:line="240" w:lineRule="auto"/>
      </w:pPr>
      <w:r>
        <w:rPr>
          <w:rFonts w:ascii="Calibri" w:hAnsi="Calibri" w:eastAsia="Calibri"/>
          <w:b/>
          <w:i w:val="0"/>
          <w:sz w:val="20"/>
        </w:rPr>
        <w:t>Texte arabe à lire :</w:t>
      </w:r>
    </w:p>
    <w:p>
      <w:pPr>
        <w:bidi w:val="1"/>
        <w:spacing w:after="160" w:before="80" w:line="324" w:lineRule="auto"/>
        <w:jc w:val="right"/>
      </w:pPr>
      <w:r>
        <w:rPr>
          <w:rFonts w:ascii="Traditional Arabic" w:hAnsi="Traditional Arabic" w:cs="Traditional Arabic"/>
          <w:sz w:val="26"/>
          <w:szCs w:val="26"/>
        </w:rPr>
        <w:t>السيد الرئيس، السادة المستشارون المحترمون، يمثل هذا الملف السيدة نادية المرابط ضحية حادثة سير وقعت بتاريخ الثاني من ماي سنة ألفين وخمسة وعشرين على مستوى شارع محمد الخامس بمدينة فاس، حين دهسها سائق السيارة المسجلة تحت عدد أرقام وهمية للاختبار وهو في حالة عدم انتباه عند قطع الممر المخصص للراجلين. نقلت الضحية إلى المستشفى وأثبت التقرير الطبي كسرا في الساق اليمنى ورضوضا متعددة ومدة عجز مؤقت حددت في تسعين يوما، مع احتمال عجز جزئي دائم. تقع المسؤولية كاملة على السائق المؤمَّن لدى شركة التأمين المدعى عليها، طبقا لقواعد المسؤولية عن حوادث السير ومقتضيات ظهير الالتزامات والعقود فيما يخص الضرر. نلتمس الأمر بإجراء خبرة طبية حسابية لتقدير الأضرار البدنية والمادية، والحكم بأداء تعويض مسبق، ثم التعويض النهائي عن العجز والآلام وضرر فقدان الأجر، مع الفوائد القانونية وتحميل المدعى عليهم الصائر. حفظ الله مجلسكم الموقر.</w:t>
      </w:r>
    </w:p>
    <w:p>
      <w:pPr>
        <w:spacing w:after="40" w:before="0" w:line="240" w:lineRule="auto"/>
      </w:pPr>
      <w:r>
        <w:rPr>
          <w:rFonts w:ascii="Calibri" w:hAnsi="Calibri" w:eastAsia="Calibri"/>
          <w:b/>
          <w:i w:val="0"/>
          <w:sz w:val="20"/>
        </w:rPr>
        <w:t>Mots-clés attendus après transcription :</w:t>
      </w:r>
    </w:p>
    <w:p>
      <w:pPr>
        <w:bidi w:val="1"/>
        <w:spacing w:after="120" w:before="80" w:line="324" w:lineRule="auto"/>
        <w:jc w:val="right"/>
      </w:pPr>
      <w:r>
        <w:rPr>
          <w:rFonts w:ascii="Traditional Arabic" w:hAnsi="Traditional Arabic" w:cs="Traditional Arabic"/>
          <w:sz w:val="24"/>
          <w:szCs w:val="24"/>
        </w:rPr>
        <w:t>حادثة سير، راجل، عجز مؤقت، خبرة طبية، تعويض، تأمين، مسؤولية</w:t>
      </w:r>
    </w:p>
    <w:p>
      <w:pPr>
        <w:spacing w:after="40" w:before="0" w:line="240" w:lineRule="auto"/>
      </w:pPr>
      <w:r>
        <w:rPr>
          <w:rFonts w:ascii="Calibri" w:hAnsi="Calibri" w:eastAsia="Calibri"/>
          <w:b/>
          <w:i w:val="0"/>
          <w:sz w:val="20"/>
        </w:rPr>
        <w:t>Variante avec contradiction (test détecteur) :</w:t>
      </w:r>
    </w:p>
    <w:p>
      <w:pPr>
        <w:spacing w:after="120" w:before="0" w:line="240" w:lineRule="auto"/>
      </w:pPr>
      <w:r>
        <w:rPr>
          <w:rFonts w:ascii="Calibri" w:hAnsi="Calibri" w:eastAsia="Calibri"/>
          <w:b w:val="0"/>
          <w:i/>
          <w:sz w:val="20"/>
        </w:rPr>
        <w:t>Variante avec contradiction : dire « مدة العجز تسعين يوما » puis « عادت إلى عملها بعد أسبوع واحد دون انقطاع ».</w:t>
      </w:r>
    </w:p>
    <w:p>
      <w:pPr>
        <w:pStyle w:val="Heading2"/>
      </w:pPr>
      <w:r>
        <w:rPr>
          <w:color w:val="1A365D"/>
        </w:rPr>
        <w:t>Script 4 — Bail commercial / expulsion du local (إخلاء محل)</w:t>
      </w:r>
    </w:p>
    <w:p>
      <w:pPr>
        <w:spacing w:after="120" w:before="0" w:line="240" w:lineRule="auto"/>
      </w:pPr>
      <w:r>
        <w:rPr>
          <w:rFonts w:ascii="Calibri" w:hAnsi="Calibri" w:eastAsia="Calibri"/>
          <w:b/>
          <w:i w:val="0"/>
          <w:sz w:val="22"/>
        </w:rPr>
        <w:t>Domaine : Droit commercial / baux</w:t>
      </w:r>
    </w:p>
    <w:p>
      <w:pPr>
        <w:spacing w:after="40" w:before="0" w:line="240" w:lineRule="auto"/>
      </w:pPr>
      <w:r>
        <w:rPr>
          <w:rFonts w:ascii="Calibri" w:hAnsi="Calibri" w:eastAsia="Calibri"/>
          <w:b/>
          <w:i w:val="0"/>
          <w:sz w:val="20"/>
        </w:rPr>
        <w:t>Contexte :</w:t>
      </w:r>
    </w:p>
    <w:p>
      <w:pPr>
        <w:spacing w:after="120" w:before="0" w:line="240" w:lineRule="auto"/>
      </w:pPr>
      <w:r>
        <w:rPr>
          <w:rFonts w:ascii="Calibri" w:hAnsi="Calibri" w:eastAsia="Calibri"/>
          <w:b w:val="0"/>
          <w:i w:val="0"/>
          <w:sz w:val="20"/>
        </w:rPr>
        <w:t>Bailleur commercial demande résiliation pour défaut de paiement de loyers et expulsion. Vocabulaire bail commercial marocain.</w:t>
      </w:r>
    </w:p>
    <w:p>
      <w:pPr>
        <w:spacing w:after="80" w:before="0" w:line="240" w:lineRule="auto"/>
      </w:pPr>
      <w:r>
        <w:rPr>
          <w:rFonts w:ascii="Calibri" w:hAnsi="Calibri" w:eastAsia="Calibri"/>
          <w:b/>
          <w:i w:val="0"/>
          <w:sz w:val="20"/>
        </w:rPr>
        <w:t>Texte arabe à lire :</w:t>
      </w:r>
    </w:p>
    <w:p>
      <w:pPr>
        <w:bidi w:val="1"/>
        <w:spacing w:after="160" w:before="80" w:line="324" w:lineRule="auto"/>
        <w:jc w:val="right"/>
      </w:pPr>
      <w:r>
        <w:rPr>
          <w:rFonts w:ascii="Traditional Arabic" w:hAnsi="Traditional Arabic" w:cs="Traditional Arabic"/>
          <w:sz w:val="26"/>
          <w:szCs w:val="26"/>
        </w:rPr>
        <w:t>بسم الله، السيد الرئيس، أدافع عن السيد عبد الرحيم التازي مالك المحل التجاري الكائن بزنقة السوق القديم بالرباط، والمكترى للسيد هشام بنعلي بمقتضى عقد كراء تجاري مؤرخ في الأول من يوليوز سنة ألفين وتسعة عشر. التزم المكتري بأداء سومة كرائية شهرية قدرها أربعة آلاف وخمسمائة درهم، غير أنه توقف عن الأداء منذ شهر مارس سنة ألفين وخمسة وعشرين، رغم الإنذارات الموجهة إليه بصفة قانونية مع منحه أجل الأداء. وقد راكم دين كراء يفوق مجموع ستة أشهر، مما يبرر فسخ العقد والإفراغ طبقا للقواعد المنظمة للكراء التجاري وحماية حقوق المكري. لم يدل المكتري بأي مبرر مشروع ولا بعرض عيني حقيقي للدين. لذلك نلتمس الحكم بفسخ عقد الكراء، وأداء جميع الوجيبة الكرائية المتأخرة والضرائب، والحكم بإفراغ المحل هو ومن يقوم مقامه، تحت طائلة الغرامة التهديدية عن كل يوم تأخير، مع النفاذ المعجل وتحميل المدعى عليه الصائر. والسلام عليكم.</w:t>
      </w:r>
    </w:p>
    <w:p>
      <w:pPr>
        <w:spacing w:after="40" w:before="0" w:line="240" w:lineRule="auto"/>
      </w:pPr>
      <w:r>
        <w:rPr>
          <w:rFonts w:ascii="Calibri" w:hAnsi="Calibri" w:eastAsia="Calibri"/>
          <w:b/>
          <w:i w:val="0"/>
          <w:sz w:val="20"/>
        </w:rPr>
        <w:t>Mots-clés attendus après transcription :</w:t>
      </w:r>
    </w:p>
    <w:p>
      <w:pPr>
        <w:bidi w:val="1"/>
        <w:spacing w:after="120" w:before="80" w:line="324" w:lineRule="auto"/>
        <w:jc w:val="right"/>
      </w:pPr>
      <w:r>
        <w:rPr>
          <w:rFonts w:ascii="Traditional Arabic" w:hAnsi="Traditional Arabic" w:cs="Traditional Arabic"/>
          <w:sz w:val="24"/>
          <w:szCs w:val="24"/>
        </w:rPr>
        <w:t>كراء تجاري، سومة كرائية، إنذار، فسخ، إفراغ، وجيبة، محل تجاري</w:t>
      </w:r>
    </w:p>
    <w:p>
      <w:pPr>
        <w:spacing w:after="40" w:before="0" w:line="240" w:lineRule="auto"/>
      </w:pPr>
      <w:r>
        <w:rPr>
          <w:rFonts w:ascii="Calibri" w:hAnsi="Calibri" w:eastAsia="Calibri"/>
          <w:b/>
          <w:i w:val="0"/>
          <w:sz w:val="20"/>
        </w:rPr>
        <w:t>Variante avec contradiction (test détecteur) :</w:t>
      </w:r>
    </w:p>
    <w:p>
      <w:pPr>
        <w:spacing w:after="120" w:before="0" w:line="240" w:lineRule="auto"/>
      </w:pPr>
      <w:r>
        <w:rPr>
          <w:rFonts w:ascii="Calibri" w:hAnsi="Calibri" w:eastAsia="Calibri"/>
          <w:b w:val="0"/>
          <w:i/>
          <w:sz w:val="20"/>
        </w:rPr>
        <w:t>Variante avec contradiction : affirmer « توقف عن الأداء منذ مارس » puis « وقد أدى جميع الكراء إلى غاية غشت ».</w:t>
      </w:r>
    </w:p>
    <w:p>
      <w:pPr>
        <w:pStyle w:val="Heading2"/>
      </w:pPr>
      <w:r>
        <w:rPr>
          <w:color w:val="1A365D"/>
        </w:rPr>
        <w:t>Script 5 — Vol / délit (جنحة سرقة)</w:t>
      </w:r>
    </w:p>
    <w:p>
      <w:pPr>
        <w:spacing w:after="120" w:before="0" w:line="240" w:lineRule="auto"/>
      </w:pPr>
      <w:r>
        <w:rPr>
          <w:rFonts w:ascii="Calibri" w:hAnsi="Calibri" w:eastAsia="Calibri"/>
          <w:b/>
          <w:i w:val="0"/>
          <w:sz w:val="22"/>
        </w:rPr>
        <w:t>Domaine : Droit pénal (délit)</w:t>
      </w:r>
    </w:p>
    <w:p>
      <w:pPr>
        <w:spacing w:after="40" w:before="0" w:line="240" w:lineRule="auto"/>
      </w:pPr>
      <w:r>
        <w:rPr>
          <w:rFonts w:ascii="Calibri" w:hAnsi="Calibri" w:eastAsia="Calibri"/>
          <w:b/>
          <w:i w:val="0"/>
          <w:sz w:val="20"/>
        </w:rPr>
        <w:t>Contexte :</w:t>
      </w:r>
    </w:p>
    <w:p>
      <w:pPr>
        <w:spacing w:after="120" w:before="0" w:line="240" w:lineRule="auto"/>
      </w:pPr>
      <w:r>
        <w:rPr>
          <w:rFonts w:ascii="Calibri" w:hAnsi="Calibri" w:eastAsia="Calibri"/>
          <w:b w:val="0"/>
          <w:i w:val="0"/>
          <w:sz w:val="20"/>
        </w:rPr>
        <w:t>Défense pénale légère : prévenu poursuivi pour vol simple. Plaidoirie axée sur absence de preuves suffisantes et circonstances atténuantes — test vocabulaire pénal.</w:t>
      </w:r>
    </w:p>
    <w:p>
      <w:pPr>
        <w:spacing w:after="80" w:before="0" w:line="240" w:lineRule="auto"/>
      </w:pPr>
      <w:r>
        <w:rPr>
          <w:rFonts w:ascii="Calibri" w:hAnsi="Calibri" w:eastAsia="Calibri"/>
          <w:b/>
          <w:i w:val="0"/>
          <w:sz w:val="20"/>
        </w:rPr>
        <w:t>Texte arabe à lire :</w:t>
      </w:r>
    </w:p>
    <w:p>
      <w:pPr>
        <w:bidi w:val="1"/>
        <w:spacing w:after="160" w:before="80" w:line="324" w:lineRule="auto"/>
        <w:jc w:val="right"/>
      </w:pPr>
      <w:r>
        <w:rPr>
          <w:rFonts w:ascii="Traditional Arabic" w:hAnsi="Traditional Arabic" w:cs="Traditional Arabic"/>
          <w:sz w:val="26"/>
          <w:szCs w:val="26"/>
        </w:rPr>
        <w:t>السيد الرئيس، حضرات القضاة الأفاضل، أدافع عن المتهم ياسين الإدريسي المتابع من أجل جنحة السرقة طبقا للقانون الجنائي. تلخص الوقائع في ادعاء تعرض محل تجاري لكسر ليلي وسرقة بضائع قدرت قيمتها بخمسة آلاف درهم. غير أن محضر الضابطة القضائية لا يتضمن أي معاينة مباشرة لتلبس، ولا ضبطا للمتاع المسروق بحوزة موكلي، ولا اعترافا قضائيا صريحا، وإنما مجرد تصريحات متناقضة لشاهد واحد لم يحضر أثناء البحث التكميلي. إن قرينة البراءة أصل، والشك يفسر لصالح المتهم. موكلي شاب بدون سوابق قضائية، وله عمل قار، وحضر جميع جلسات التحقيق. نلتمس أساسا التصريح بالبراءة لعدم كفاية الدليل، واحتياطيا تمتيعه بظروف التخفيف في حال الإدانة مع إيقاف التنفيذ، مراعاة لسنه ولظروفه الاجتماعية. حفظ الله عدالتكم.</w:t>
      </w:r>
    </w:p>
    <w:p>
      <w:pPr>
        <w:spacing w:after="40" w:before="0" w:line="240" w:lineRule="auto"/>
      </w:pPr>
      <w:r>
        <w:rPr>
          <w:rFonts w:ascii="Calibri" w:hAnsi="Calibri" w:eastAsia="Calibri"/>
          <w:b/>
          <w:i w:val="0"/>
          <w:sz w:val="20"/>
        </w:rPr>
        <w:t>Mots-clés attendus après transcription :</w:t>
      </w:r>
    </w:p>
    <w:p>
      <w:pPr>
        <w:bidi w:val="1"/>
        <w:spacing w:after="120" w:before="80" w:line="324" w:lineRule="auto"/>
        <w:jc w:val="right"/>
      </w:pPr>
      <w:r>
        <w:rPr>
          <w:rFonts w:ascii="Traditional Arabic" w:hAnsi="Traditional Arabic" w:cs="Traditional Arabic"/>
          <w:sz w:val="24"/>
          <w:szCs w:val="24"/>
        </w:rPr>
        <w:t>جنحة سرقة، قانون جنائي، قرينة البراءة، محضر، تلبس، ظروف التخفيف، إيقاف التنفيذ</w:t>
      </w:r>
    </w:p>
    <w:p>
      <w:pPr>
        <w:spacing w:after="40" w:before="0" w:line="240" w:lineRule="auto"/>
      </w:pPr>
      <w:r>
        <w:rPr>
          <w:rFonts w:ascii="Calibri" w:hAnsi="Calibri" w:eastAsia="Calibri"/>
          <w:b/>
          <w:i w:val="0"/>
          <w:sz w:val="20"/>
        </w:rPr>
        <w:t>Variante avec contradiction (test détecteur) :</w:t>
      </w:r>
    </w:p>
    <w:p>
      <w:pPr>
        <w:spacing w:after="120" w:before="0" w:line="240" w:lineRule="auto"/>
      </w:pPr>
      <w:r>
        <w:rPr>
          <w:rFonts w:ascii="Calibri" w:hAnsi="Calibri" w:eastAsia="Calibri"/>
          <w:b w:val="0"/>
          <w:i/>
          <w:sz w:val="20"/>
        </w:rPr>
        <w:t>Variante avec contradiction : dire « بدون سوابق قضائية » puis « سبق إدانته من أجل السرقة سنة ألفين واثنين وعشرين ».</w:t>
      </w:r>
    </w:p>
    <w:p>
      <w:pPr>
        <w:pStyle w:val="Heading2"/>
      </w:pPr>
      <w:r>
        <w:rPr>
          <w:color w:val="1A365D"/>
        </w:rPr>
        <w:t>Script 6 — Litige foncier / propriété (ملكية عقار)</w:t>
      </w:r>
    </w:p>
    <w:p>
      <w:pPr>
        <w:spacing w:after="120" w:before="0" w:line="240" w:lineRule="auto"/>
      </w:pPr>
      <w:r>
        <w:rPr>
          <w:rFonts w:ascii="Calibri" w:hAnsi="Calibri" w:eastAsia="Calibri"/>
          <w:b/>
          <w:i w:val="0"/>
          <w:sz w:val="22"/>
        </w:rPr>
        <w:t>Domaine : Droit immobilier / foncier</w:t>
      </w:r>
    </w:p>
    <w:p>
      <w:pPr>
        <w:spacing w:after="40" w:before="0" w:line="240" w:lineRule="auto"/>
      </w:pPr>
      <w:r>
        <w:rPr>
          <w:rFonts w:ascii="Calibri" w:hAnsi="Calibri" w:eastAsia="Calibri"/>
          <w:b/>
          <w:i w:val="0"/>
          <w:sz w:val="20"/>
        </w:rPr>
        <w:t>Contexte :</w:t>
      </w:r>
    </w:p>
    <w:p>
      <w:pPr>
        <w:spacing w:after="120" w:before="0" w:line="240" w:lineRule="auto"/>
      </w:pPr>
      <w:r>
        <w:rPr>
          <w:rFonts w:ascii="Calibri" w:hAnsi="Calibri" w:eastAsia="Calibri"/>
          <w:b w:val="0"/>
          <w:i w:val="0"/>
          <w:sz w:val="20"/>
        </w:rPr>
        <w:t>Action en revendication de propriété et annulation d'acte. Vocabulaire foncier (titre, conservation foncière, bornage).</w:t>
      </w:r>
    </w:p>
    <w:p>
      <w:pPr>
        <w:spacing w:after="80" w:before="0" w:line="240" w:lineRule="auto"/>
      </w:pPr>
      <w:r>
        <w:rPr>
          <w:rFonts w:ascii="Calibri" w:hAnsi="Calibri" w:eastAsia="Calibri"/>
          <w:b/>
          <w:i w:val="0"/>
          <w:sz w:val="20"/>
        </w:rPr>
        <w:t>Texte arabe à lire :</w:t>
      </w:r>
    </w:p>
    <w:p>
      <w:pPr>
        <w:bidi w:val="1"/>
        <w:spacing w:after="160" w:before="80" w:line="324" w:lineRule="auto"/>
        <w:jc w:val="right"/>
      </w:pPr>
      <w:r>
        <w:rPr>
          <w:rFonts w:ascii="Traditional Arabic" w:hAnsi="Traditional Arabic" w:cs="Traditional Arabic"/>
          <w:sz w:val="26"/>
          <w:szCs w:val="26"/>
        </w:rPr>
        <w:t>السيد الرئيس، السادة المستشارون، أترافع لفائدة السيد محمد الأموي طالب استحقاق العقار الفلاحي الكائن بجماعة عين الشقف عمالة مولاي يعقوب، ذي الرسم العقاري عدد اختبار للعرض، والمحددة مساحته بأربعة هكتارات تقريبا. يثبت أصل الملك لموكلي بمقتضى رسم ملكية قديم مدعم بشهادة شهود مستمرة الحيازة الهادئة العلنية منذ أكثر من أربعين سنة، وبتقييدات جزئية بالمحافظة العقارية. غير أن المدعى عليه استظهر عقد بيع حديث صادر عمن لا صفة له في التفويت، محاولا الاستيلاء على جزء من الأرض وحرثه دون إذن. إن الحيازة المستوفية للشروط القانونية مع السند الأقوى ترجح حق موكلي. نلتمس لذلك الحكم باستحقاق العقار موضوع النزاع لفائدته، وببطلان عقد البيع المدلى به فيما يخص الجزء المتنازع عليه، وبأمر بإجراء خبرة طبوغرافية لتحديد الحدود وإزالة التعدي، مع تعويض عن الحرمان من الاستغلال وتحميل المدعى عليه الصائر. والسلام عليكم ورحمة الله تعالى وبركاته.</w:t>
      </w:r>
    </w:p>
    <w:p>
      <w:pPr>
        <w:spacing w:after="40" w:before="0" w:line="240" w:lineRule="auto"/>
      </w:pPr>
      <w:r>
        <w:rPr>
          <w:rFonts w:ascii="Calibri" w:hAnsi="Calibri" w:eastAsia="Calibri"/>
          <w:b/>
          <w:i w:val="0"/>
          <w:sz w:val="20"/>
        </w:rPr>
        <w:t>Mots-clés attendus après transcription :</w:t>
      </w:r>
    </w:p>
    <w:p>
      <w:pPr>
        <w:bidi w:val="1"/>
        <w:spacing w:after="120" w:before="80" w:line="324" w:lineRule="auto"/>
        <w:jc w:val="right"/>
      </w:pPr>
      <w:r>
        <w:rPr>
          <w:rFonts w:ascii="Traditional Arabic" w:hAnsi="Traditional Arabic" w:cs="Traditional Arabic"/>
          <w:sz w:val="24"/>
          <w:szCs w:val="24"/>
        </w:rPr>
        <w:t>رسم عقاري، محافظة عقارية، حيازة، استحقاق، خبرة طبوغرافية، عقد بيع، ملكية</w:t>
      </w:r>
    </w:p>
    <w:p>
      <w:pPr>
        <w:spacing w:after="40" w:before="0" w:line="240" w:lineRule="auto"/>
      </w:pPr>
      <w:r>
        <w:rPr>
          <w:rFonts w:ascii="Calibri" w:hAnsi="Calibri" w:eastAsia="Calibri"/>
          <w:b/>
          <w:i w:val="0"/>
          <w:sz w:val="20"/>
        </w:rPr>
        <w:t>Variante avec contradiction (test détecteur) :</w:t>
      </w:r>
    </w:p>
    <w:p>
      <w:pPr>
        <w:spacing w:after="120" w:before="0" w:line="240" w:lineRule="auto"/>
      </w:pPr>
      <w:r>
        <w:rPr>
          <w:rFonts w:ascii="Calibri" w:hAnsi="Calibri" w:eastAsia="Calibri"/>
          <w:b w:val="0"/>
          <w:i/>
          <w:sz w:val="20"/>
        </w:rPr>
        <w:t>Variante avec contradiction : indiquer « أربعة هكتارات » puis « المساحة لا تتجاوز هكتارا واحدا حسب الخبرة السابقة ».</w:t>
      </w:r>
    </w:p>
    <w:p>
      <w:pPr>
        <w:pStyle w:val="Heading1"/>
      </w:pPr>
      <w:r>
        <w:rPr>
          <w:color w:val="1A365D"/>
        </w:rPr>
        <w:t>Annexe — grille de score rapide STT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4535"/>
            <w:shd w:fill="1A365D" w:val="clear"/>
          </w:tcPr>
          <w:p>
            <w:pPr>
              <w:jc w:val="center"/>
            </w:pPr>
            <w:r/>
            <w:r>
              <w:rPr>
                <w:rFonts w:ascii="Calibri" w:hAnsi="Calibri" w:eastAsia="Calibri"/>
                <w:b/>
                <w:i w:val="0"/>
                <w:color w:val="FFFFFF"/>
                <w:sz w:val="20"/>
              </w:rPr>
              <w:t>Critère</w:t>
            </w:r>
          </w:p>
        </w:tc>
        <w:tc>
          <w:tcPr>
            <w:tcW w:type="dxa" w:w="1417"/>
            <w:shd w:fill="1A365D" w:val="clear"/>
          </w:tcPr>
          <w:p>
            <w:pPr>
              <w:jc w:val="center"/>
            </w:pPr>
            <w:r/>
            <w:r>
              <w:rPr>
                <w:rFonts w:ascii="Calibri" w:hAnsi="Calibri" w:eastAsia="Calibri"/>
                <w:b/>
                <w:i w:val="0"/>
                <w:color w:val="FFFFFF"/>
                <w:sz w:val="20"/>
              </w:rPr>
              <w:t>OK</w:t>
            </w:r>
          </w:p>
        </w:tc>
        <w:tc>
          <w:tcPr>
            <w:tcW w:type="dxa" w:w="1417"/>
            <w:shd w:fill="1A365D" w:val="clear"/>
          </w:tcPr>
          <w:p>
            <w:pPr>
              <w:jc w:val="center"/>
            </w:pPr>
            <w:r/>
            <w:r>
              <w:rPr>
                <w:rFonts w:ascii="Calibri" w:hAnsi="Calibri" w:eastAsia="Calibri"/>
                <w:b/>
                <w:i w:val="0"/>
                <w:color w:val="FFFFFF"/>
                <w:sz w:val="20"/>
              </w:rPr>
              <w:t>Partiel</w:t>
            </w:r>
          </w:p>
        </w:tc>
        <w:tc>
          <w:tcPr>
            <w:tcW w:type="dxa" w:w="1417"/>
            <w:shd w:fill="1A365D" w:val="clear"/>
          </w:tcPr>
          <w:p>
            <w:pPr>
              <w:jc w:val="center"/>
            </w:pPr>
            <w:r/>
            <w:r>
              <w:rPr>
                <w:rFonts w:ascii="Calibri" w:hAnsi="Calibri" w:eastAsia="Calibri"/>
                <w:b/>
                <w:i w:val="0"/>
                <w:color w:val="FFFFFF"/>
                <w:sz w:val="20"/>
              </w:rPr>
              <w:t>KO</w:t>
            </w:r>
          </w:p>
        </w:tc>
      </w:tr>
      <w:tr>
        <w:tc>
          <w:tcPr>
            <w:tcW w:type="dxa" w:w="4535"/>
          </w:tcPr>
          <w:p>
            <w:r/>
            <w:r>
              <w:rPr>
                <w:rFonts w:ascii="Calibri" w:hAnsi="Calibri" w:eastAsia="Calibri"/>
                <w:b w:val="0"/>
                <w:i w:val="0"/>
                <w:sz w:val="18"/>
              </w:rPr>
              <w:t>Termes juridiques majeurs reconnus</w:t>
            </w:r>
          </w:p>
        </w:tc>
        <w:tc>
          <w:tcPr>
            <w:tcW w:type="dxa" w:w="1417"/>
          </w:tcPr>
          <w:p>
            <w:r/>
            <w:r>
              <w:rPr>
                <w:rFonts w:ascii="Calibri" w:hAnsi="Calibri" w:eastAsia="Calibri"/>
                <w:b w:val="0"/>
                <w:i w:val="0"/>
                <w:sz w:val="18"/>
              </w:rPr>
              <w:t>☐</w:t>
            </w:r>
          </w:p>
        </w:tc>
        <w:tc>
          <w:tcPr>
            <w:tcW w:type="dxa" w:w="1417"/>
          </w:tcPr>
          <w:p>
            <w:r/>
            <w:r>
              <w:rPr>
                <w:rFonts w:ascii="Calibri" w:hAnsi="Calibri" w:eastAsia="Calibri"/>
                <w:b w:val="0"/>
                <w:i w:val="0"/>
                <w:sz w:val="18"/>
              </w:rPr>
              <w:t>☐</w:t>
            </w:r>
          </w:p>
        </w:tc>
        <w:tc>
          <w:tcPr>
            <w:tcW w:type="dxa" w:w="1417"/>
          </w:tcPr>
          <w:p>
            <w:r/>
            <w:r>
              <w:rPr>
                <w:rFonts w:ascii="Calibri" w:hAnsi="Calibri" w:eastAsia="Calibri"/>
                <w:b w:val="0"/>
                <w:i w:val="0"/>
                <w:sz w:val="18"/>
              </w:rPr>
              <w:t>☐</w:t>
            </w:r>
          </w:p>
        </w:tc>
      </w:tr>
      <w:tr>
        <w:tc>
          <w:tcPr>
            <w:tcW w:type="dxa" w:w="4535"/>
            <w:shd w:fill="F0F4F8" w:val="clear"/>
          </w:tcPr>
          <w:p>
            <w:r/>
            <w:r>
              <w:rPr>
                <w:rFonts w:ascii="Calibri" w:hAnsi="Calibri" w:eastAsia="Calibri"/>
                <w:b w:val="0"/>
                <w:i w:val="0"/>
                <w:sz w:val="18"/>
              </w:rPr>
              <w:t>Noms propres / dates globalement corrects</w:t>
            </w:r>
          </w:p>
        </w:tc>
        <w:tc>
          <w:tcPr>
            <w:tcW w:type="dxa" w:w="1417"/>
            <w:shd w:fill="F0F4F8" w:val="clear"/>
          </w:tcPr>
          <w:p>
            <w:r/>
            <w:r>
              <w:rPr>
                <w:rFonts w:ascii="Calibri" w:hAnsi="Calibri" w:eastAsia="Calibri"/>
                <w:b w:val="0"/>
                <w:i w:val="0"/>
                <w:sz w:val="18"/>
              </w:rPr>
              <w:t>☐</w:t>
            </w:r>
          </w:p>
        </w:tc>
        <w:tc>
          <w:tcPr>
            <w:tcW w:type="dxa" w:w="1417"/>
            <w:shd w:fill="F0F4F8" w:val="clear"/>
          </w:tcPr>
          <w:p>
            <w:r/>
            <w:r>
              <w:rPr>
                <w:rFonts w:ascii="Calibri" w:hAnsi="Calibri" w:eastAsia="Calibri"/>
                <w:b w:val="0"/>
                <w:i w:val="0"/>
                <w:sz w:val="18"/>
              </w:rPr>
              <w:t>☐</w:t>
            </w:r>
          </w:p>
        </w:tc>
        <w:tc>
          <w:tcPr>
            <w:tcW w:type="dxa" w:w="1417"/>
            <w:shd w:fill="F0F4F8" w:val="clear"/>
          </w:tcPr>
          <w:p>
            <w:r/>
            <w:r>
              <w:rPr>
                <w:rFonts w:ascii="Calibri" w:hAnsi="Calibri" w:eastAsia="Calibri"/>
                <w:b w:val="0"/>
                <w:i w:val="0"/>
                <w:sz w:val="18"/>
              </w:rPr>
              <w:t>☐</w:t>
            </w:r>
          </w:p>
        </w:tc>
      </w:tr>
      <w:tr>
        <w:tc>
          <w:tcPr>
            <w:tcW w:type="dxa" w:w="4535"/>
          </w:tcPr>
          <w:p>
            <w:r/>
            <w:r>
              <w:rPr>
                <w:rFonts w:ascii="Calibri" w:hAnsi="Calibri" w:eastAsia="Calibri"/>
                <w:b w:val="0"/>
                <w:i w:val="0"/>
                <w:sz w:val="18"/>
              </w:rPr>
              <w:t>Marques orange pertinentes</w:t>
            </w:r>
          </w:p>
        </w:tc>
        <w:tc>
          <w:tcPr>
            <w:tcW w:type="dxa" w:w="1417"/>
          </w:tcPr>
          <w:p>
            <w:r/>
            <w:r>
              <w:rPr>
                <w:rFonts w:ascii="Calibri" w:hAnsi="Calibri" w:eastAsia="Calibri"/>
                <w:b w:val="0"/>
                <w:i w:val="0"/>
                <w:sz w:val="18"/>
              </w:rPr>
              <w:t>☐</w:t>
            </w:r>
          </w:p>
        </w:tc>
        <w:tc>
          <w:tcPr>
            <w:tcW w:type="dxa" w:w="1417"/>
          </w:tcPr>
          <w:p>
            <w:r/>
            <w:r>
              <w:rPr>
                <w:rFonts w:ascii="Calibri" w:hAnsi="Calibri" w:eastAsia="Calibri"/>
                <w:b w:val="0"/>
                <w:i w:val="0"/>
                <w:sz w:val="18"/>
              </w:rPr>
              <w:t>☐</w:t>
            </w:r>
          </w:p>
        </w:tc>
        <w:tc>
          <w:tcPr>
            <w:tcW w:type="dxa" w:w="1417"/>
          </w:tcPr>
          <w:p>
            <w:r/>
            <w:r>
              <w:rPr>
                <w:rFonts w:ascii="Calibri" w:hAnsi="Calibri" w:eastAsia="Calibri"/>
                <w:b w:val="0"/>
                <w:i w:val="0"/>
                <w:sz w:val="18"/>
              </w:rPr>
              <w:t>☐</w:t>
            </w:r>
          </w:p>
        </w:tc>
      </w:tr>
      <w:tr>
        <w:tc>
          <w:tcPr>
            <w:tcW w:type="dxa" w:w="4535"/>
            <w:shd w:fill="F0F4F8" w:val="clear"/>
          </w:tcPr>
          <w:p>
            <w:r/>
            <w:r>
              <w:rPr>
                <w:rFonts w:ascii="Calibri" w:hAnsi="Calibri" w:eastAsia="Calibri"/>
                <w:b w:val="0"/>
                <w:i w:val="0"/>
                <w:sz w:val="18"/>
              </w:rPr>
              <w:t>Correction fusḥā utile</w:t>
            </w:r>
          </w:p>
        </w:tc>
        <w:tc>
          <w:tcPr>
            <w:tcW w:type="dxa" w:w="1417"/>
            <w:shd w:fill="F0F4F8" w:val="clear"/>
          </w:tcPr>
          <w:p>
            <w:r/>
            <w:r>
              <w:rPr>
                <w:rFonts w:ascii="Calibri" w:hAnsi="Calibri" w:eastAsia="Calibri"/>
                <w:b w:val="0"/>
                <w:i w:val="0"/>
                <w:sz w:val="18"/>
              </w:rPr>
              <w:t>☐</w:t>
            </w:r>
          </w:p>
        </w:tc>
        <w:tc>
          <w:tcPr>
            <w:tcW w:type="dxa" w:w="1417"/>
            <w:shd w:fill="F0F4F8" w:val="clear"/>
          </w:tcPr>
          <w:p>
            <w:r/>
            <w:r>
              <w:rPr>
                <w:rFonts w:ascii="Calibri" w:hAnsi="Calibri" w:eastAsia="Calibri"/>
                <w:b w:val="0"/>
                <w:i w:val="0"/>
                <w:sz w:val="18"/>
              </w:rPr>
              <w:t>☐</w:t>
            </w:r>
          </w:p>
        </w:tc>
        <w:tc>
          <w:tcPr>
            <w:tcW w:type="dxa" w:w="1417"/>
            <w:shd w:fill="F0F4F8" w:val="clear"/>
          </w:tcPr>
          <w:p>
            <w:r/>
            <w:r>
              <w:rPr>
                <w:rFonts w:ascii="Calibri" w:hAnsi="Calibri" w:eastAsia="Calibri"/>
                <w:b w:val="0"/>
                <w:i w:val="0"/>
                <w:sz w:val="18"/>
              </w:rPr>
              <w:t>☐</w:t>
            </w:r>
          </w:p>
        </w:tc>
      </w:tr>
      <w:tr>
        <w:tc>
          <w:tcPr>
            <w:tcW w:type="dxa" w:w="4535"/>
          </w:tcPr>
          <w:p>
            <w:r/>
            <w:r>
              <w:rPr>
                <w:rFonts w:ascii="Calibri" w:hAnsi="Calibri" w:eastAsia="Calibri"/>
                <w:b w:val="0"/>
                <w:i w:val="0"/>
                <w:sz w:val="18"/>
              </w:rPr>
              <w:t>Contradiction volontaire détectée (si testée)</w:t>
            </w:r>
          </w:p>
        </w:tc>
        <w:tc>
          <w:tcPr>
            <w:tcW w:type="dxa" w:w="1417"/>
          </w:tcPr>
          <w:p>
            <w:r/>
            <w:r>
              <w:rPr>
                <w:rFonts w:ascii="Calibri" w:hAnsi="Calibri" w:eastAsia="Calibri"/>
                <w:b w:val="0"/>
                <w:i w:val="0"/>
                <w:sz w:val="18"/>
              </w:rPr>
              <w:t>☐</w:t>
            </w:r>
          </w:p>
        </w:tc>
        <w:tc>
          <w:tcPr>
            <w:tcW w:type="dxa" w:w="1417"/>
          </w:tcPr>
          <w:p>
            <w:r/>
            <w:r>
              <w:rPr>
                <w:rFonts w:ascii="Calibri" w:hAnsi="Calibri" w:eastAsia="Calibri"/>
                <w:b w:val="0"/>
                <w:i w:val="0"/>
                <w:sz w:val="18"/>
              </w:rPr>
              <w:t>☐</w:t>
            </w:r>
          </w:p>
        </w:tc>
        <w:tc>
          <w:tcPr>
            <w:tcW w:type="dxa" w:w="1417"/>
          </w:tcPr>
          <w:p>
            <w:r/>
            <w:r>
              <w:rPr>
                <w:rFonts w:ascii="Calibri" w:hAnsi="Calibri" w:eastAsia="Calibri"/>
                <w:b w:val="0"/>
                <w:i w:val="0"/>
                <w:sz w:val="18"/>
              </w:rPr>
              <w:t>☐</w:t>
            </w:r>
          </w:p>
        </w:tc>
      </w:tr>
    </w:tbl>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sz w:val="16"/>
      </w:rPr>
      <w:t>Document confidentiel — usage encadrement PFA / démonstration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4A5568"/>
        <w:sz w:val="16"/>
      </w:rPr>
      <w:t>LexHub — PFA Douae EL ASSAL — WEBVOICE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