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Calibri" w:hAnsi="Calibri" w:eastAsia="Calibri"/>
          <w:b/>
          <w:i w:val="0"/>
          <w:sz w:val="24"/>
        </w:rPr>
        <w:t>LexHub — Plateforme LegalTech pour cabinets marocains</w:t>
      </w:r>
    </w:p>
    <w:p>
      <w:pPr>
        <w:spacing w:after="4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Destinataire : Hatim Benhaddou (WEBVOICE) — Stagiaire : Douae EL ASSAL</w:t>
      </w:r>
    </w:p>
    <w:p>
      <w:pPr>
        <w:spacing w:after="80" w:line="240" w:lineRule="auto"/>
        <w:jc w:val="center"/>
      </w:pPr>
      <w:r>
        <w:rPr>
          <w:rFonts w:ascii="Calibri" w:hAnsi="Calibri" w:eastAsia="Calibri"/>
          <w:b/>
          <w:i w:val="0"/>
          <w:sz w:val="32"/>
        </w:rPr>
        <w:t>Cadrage technique post-suivi — LexHub niveau international</w:t>
      </w:r>
    </w:p>
    <w:p>
      <w:pPr>
        <w:spacing w:after="240" w:line="240" w:lineRule="auto"/>
        <w:jc w:val="center"/>
      </w:pPr>
      <w:r>
        <w:rPr>
          <w:rFonts w:ascii="Calibri" w:hAnsi="Calibri" w:eastAsia="Calibri"/>
          <w:b w:val="0"/>
          <w:i/>
          <w:sz w:val="20"/>
        </w:rPr>
        <w:t>Anonymisation PII · OpenAI · Clé de barre · Billing · Admin — août 2026</w:t>
      </w:r>
    </w:p>
    <w:p>
      <w:pPr>
        <w:pStyle w:val="Heading1"/>
      </w:pPr>
      <w:r>
        <w:rPr>
          <w:color w:val="1A365D"/>
        </w:rPr>
        <w:t>1. Vision produit (après suivi entreprise)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L'avocat dépose les pièces du dossier → LexHub extrait les faits / parties → anonymise les noms avant tout appel LLM → génère une clé de barre puis une plaidoirie conforme aux usages marocains → réinjecte les vrais noms uniquement côté cabinet. Monetisation par abonnements à paliers.</w:t>
      </w:r>
    </w:p>
    <w:p>
      <w:pPr>
        <w:pStyle w:val="Heading1"/>
      </w:pPr>
      <w:r>
        <w:rPr>
          <w:color w:val="1A365D"/>
        </w:rPr>
        <w:t>2. Architecture confidentialité (PII)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Technique : détection heuristique + liste des parties du dossier (client, adversaire, témoins) → remplacement par jetons stables (PARTIE_A, PARTIE_B, TEMOIN_1). Le mapping reste en base cabinet (jamais envoyé au LLM). Après réponse IA, démasquage local. Aligné sur le principe minimisation / privacy-by-design (RGPD-like / Loi 09-08).</w:t>
      </w:r>
    </w:p>
    <w:p>
      <w:pPr>
        <w:pStyle w:val="Heading1"/>
      </w:pPr>
      <w:r>
        <w:rPr>
          <w:color w:val="1A365D"/>
        </w:rPr>
        <w:t>3. Pipeline clé de barre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1. Collecte des textes extraits (OCR) des documents du dossier.</w:t>
        <w:br/>
        <w:t>2. Anonymisation.</w:t>
        <w:br/>
        <w:t>3. Prompt métier marocain (faits, moyens, demandes, jurisprudence citée avec prudence).</w:t>
        <w:br/>
        <w:t>4. Appel modèle premium (OpenAI) si plan Pro+.</w:t>
        <w:br/>
        <w:t>5. Démasquage + structuration éditable dans l'atelier plaidoirie.</w:t>
        <w:br/>
        <w:t>6. L'avocat reste responsable du fond (disclaimer déontologique).</w:t>
      </w:r>
    </w:p>
    <w:p>
      <w:pPr>
        <w:pStyle w:val="Heading1"/>
      </w:pPr>
      <w:r>
        <w:rPr>
          <w:color w:val="1A365D"/>
        </w:rPr>
        <w:t>4. Billing (mode préparation)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Tables subscription_plans + cabinet_subscriptions + usage_counters. UI type Cursor : jours restants, barre d'usage, comparaison de plans, CTA upgrade. Admin WebVoice : CRUD plans + assignation manuelle. Champs external_customer_id / external_subscription_id prêts pour Stripe.</w:t>
      </w:r>
    </w:p>
    <w:p>
      <w:pPr>
        <w:pStyle w:val="Heading1"/>
      </w:pPr>
      <w:r>
        <w:rPr>
          <w:color w:val="1A365D"/>
        </w:rPr>
        <w:t>5. Critères « niveau mondial » déjà ciblés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• Multi-tenant strict · audit logs · MFA · invitations admin-only</w:t>
        <w:br/>
        <w:t>• Quotas visibles · essai · plans éditables admin</w:t>
        <w:br/>
        <w:t>• PII masking avant cloud LLM</w:t>
        <w:br/>
        <w:t>• Export Word/PDF institutionnel</w:t>
        <w:br/>
        <w:t>• Temps réel (notifications) · déploiement TLS lexhub.space</w:t>
        <w:br/>
        <w:t>À venir : paiement réel, facturation, SLA Entreprise, monitoring usage LLM par cabinet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sz w:val="16"/>
      </w:rPr>
      <w:t>LexHub — Proposition commerciale — WEBVOICE / ENSA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