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raditional Arabic" w:hAnsi="Traditional Arabic" w:cs="Traditional Arabic"/>
          <w:b/>
          <w:color w:val="1A3A2A"/>
          <w:sz w:val="30"/>
        </w:rPr>
        <w:t>المملكة المغربية</w:t>
      </w:r>
    </w:p>
    <w:p>
      <w:pPr>
        <w:spacing w:after="200"/>
        <w:jc w:val="center"/>
      </w:pPr>
      <w:r>
        <w:rPr>
          <w:rFonts w:ascii="Calibri" w:hAnsi="Calibri"/>
          <w:color w:val="4A5568"/>
          <w:sz w:val="18"/>
          <w:rtl w:val="0"/>
        </w:rPr>
        <w:t>Royaume du Maroc</w:t>
      </w:r>
    </w:p>
    <w:p>
      <w:pPr>
        <w:spacing w:after="200" w:line="360" w:lineRule="auto"/>
        <w:jc w:val="right"/>
      </w:pPr>
      <w:r>
        <w:rPr>
          <w:rFonts w:ascii="Traditional Arabic" w:hAnsi="Traditional Arabic" w:cs="Traditional Arabic"/>
          <w:b w:val="0"/>
          <w:color w:val="334155"/>
          <w:sz w:val="22"/>
        </w:rPr>
        <w:t xml:space="preserve">المكتب : </w:t>
      </w:r>
      <w:r>
        <w:rPr>
          <w:rFonts w:ascii="Calibri" w:hAnsi="Calibri"/>
          <w:b w:val="0"/>
          <w:sz w:val="22"/>
          <w:rtl w:val="0"/>
        </w:rPr>
        <w:t>Cabinet Démo Atlas</w:t>
      </w:r>
    </w:p>
    <w:p>
      <w:pPr>
        <w:spacing w:after="200" w:line="360" w:lineRule="auto"/>
        <w:jc w:val="right"/>
      </w:pPr>
      <w:r>
        <w:rPr>
          <w:rFonts w:ascii="Traditional Arabic" w:hAnsi="Traditional Arabic" w:cs="Traditional Arabic"/>
          <w:b w:val="0"/>
          <w:color w:val="334155"/>
          <w:sz w:val="22"/>
        </w:rPr>
        <w:t>المحامي المعد : دعاء العسال</w:t>
      </w:r>
    </w:p>
    <w:p>
      <w:pPr>
        <w:spacing w:after="200" w:line="360" w:lineRule="auto"/>
        <w:jc w:val="right"/>
      </w:pPr>
      <w:r>
        <w:rPr>
          <w:rFonts w:ascii="Traditional Arabic" w:hAnsi="Traditional Arabic" w:cs="Traditional Arabic"/>
          <w:b w:val="0"/>
          <w:color w:val="334155"/>
          <w:sz w:val="22"/>
        </w:rPr>
        <w:t xml:space="preserve">تاريخ التحرير : </w:t>
      </w:r>
      <w:r>
        <w:rPr>
          <w:rFonts w:ascii="Calibri" w:hAnsi="Calibri"/>
          <w:b w:val="0"/>
          <w:sz w:val="22"/>
          <w:rtl w:val="0"/>
        </w:rPr>
        <w:t>28/08/2026</w:t>
      </w:r>
    </w:p>
    <w:p>
      <w:pPr>
        <w:spacing w:before="240" w:after="320"/>
        <w:jc w:val="center"/>
      </w:pPr>
      <w:r>
        <w:rPr>
          <w:rFonts w:ascii="Traditional Arabic" w:hAnsi="Traditional Arabic" w:cs="Traditional Arabic"/>
          <w:b/>
          <w:color w:val="1A3A2A"/>
          <w:sz w:val="28"/>
          <w:u w:val="single"/>
        </w:rPr>
        <w:t>مرافعة — يوسف العمراني / أطلس تكستيل</w:t>
      </w:r>
    </w:p>
    <w:p>
      <w:pPr>
        <w:spacing w:line="360" w:lineRule="auto" w:before="280" w:after="160"/>
        <w:ind w:firstLine="0"/>
        <w:jc w:val="right"/>
        <w:pBdr>
          <w:bottom w:val="single" w:sz="6" w:space="1" w:color="1F4E79"/>
        </w:pBdr>
      </w:pPr>
      <w:r>
        <w:rPr>
          <w:rFonts w:ascii="Traditional Arabic" w:hAnsi="Traditional Arabic" w:cs="Traditional Arabic"/>
          <w:b/>
          <w:color w:val="1F4E79"/>
          <w:sz w:val="26"/>
        </w:rPr>
        <w:t>تحديد الأطراف</w:t>
      </w:r>
    </w:p>
    <w:p>
      <w:pPr>
        <w:spacing w:line="360" w:lineRule="auto" w:after="200"/>
        <w:ind w:firstLine="340"/>
        <w:jc w:val="right"/>
      </w:pPr>
      <w:r>
        <w:rPr>
          <w:rFonts w:ascii="Traditional Arabic" w:hAnsi="Traditional Arabic" w:cs="Traditional Arabic"/>
          <w:b w:val="0"/>
          <w:sz w:val="24"/>
        </w:rPr>
        <w:t>المدعي : يوسف العمراني — رئيس فريق في ورشة الصباغة بشركة أطلس تكستيل</w:t>
      </w:r>
    </w:p>
    <w:p>
      <w:pPr>
        <w:spacing w:line="360" w:lineRule="auto" w:after="200"/>
        <w:ind w:firstLine="340"/>
        <w:jc w:val="right"/>
      </w:pPr>
      <w:r>
        <w:rPr>
          <w:rFonts w:ascii="Traditional Arabic" w:hAnsi="Traditional Arabic" w:cs="Traditional Arabic"/>
          <w:b w:val="0"/>
          <w:sz w:val="24"/>
        </w:rPr>
        <w:t>المدعى عليها : شركة أطلس تكستيل</w:t>
      </w:r>
    </w:p>
    <w:p>
      <w:pPr>
        <w:spacing w:line="360" w:lineRule="auto" w:after="200"/>
        <w:ind w:firstLine="340"/>
        <w:jc w:val="right"/>
      </w:pPr>
      <w:r>
        <w:rPr>
          <w:rFonts w:ascii="Traditional Arabic" w:hAnsi="Traditional Arabic" w:cs="Traditional Arabic"/>
          <w:b w:val="0"/>
          <w:sz w:val="24"/>
        </w:rPr>
        <w:t>السيد الرئيس، السيدة والسادة المستشارون،</w:t>
      </w:r>
    </w:p>
    <w:p>
      <w:pPr>
        <w:spacing w:line="360" w:lineRule="auto" w:after="200"/>
        <w:ind w:firstLine="340"/>
        <w:jc w:val="right"/>
      </w:pPr>
      <w:r>
        <w:rPr>
          <w:rFonts w:ascii="Calibri" w:hAnsi="Calibri"/>
          <w:b w:val="0"/>
          <w:sz w:val="24"/>
          <w:rtl w:val="0"/>
        </w:rPr>
        <w:t>اشتغل موكلي، السيد يوسف العمراني، لمدة إحدى عشرة سنة، من 3 شتنبر 2013 إلى 17 يناير 2025، بمنصب رئيس فريق في ورشة الصباغة بشركة أطلس تكستيل. إحدى عشرة سنة لم يُسجَّل خلالها في حقه أي جزاء تأديبي، وهو ما يثبته ملفه الشخصي المدلى به تحت الحجة عدد 2.</w:t>
      </w:r>
    </w:p>
    <w:p>
      <w:pPr>
        <w:spacing w:line="360" w:lineRule="auto" w:after="200"/>
        <w:ind w:firstLine="340"/>
        <w:jc w:val="right"/>
      </w:pPr>
      <w:r>
        <w:rPr>
          <w:rFonts w:ascii="Calibri" w:hAnsi="Calibri"/>
          <w:b w:val="0"/>
          <w:sz w:val="24"/>
          <w:rtl w:val="0"/>
        </w:rPr>
        <w:t>يوم الجمعة 17 يناير 2025، على الساعة الثامنة صباحا، مُنع السيد العمراني من ولوج الورشة من طرف عون الحراسة، بتعليمات من رئيس الموارد البشرية السيد رشيد الفاسي. لم توجَّه إليه أي استدعاء كتابي. ولم تُجرَ أي مقابلة قبل اتخاذ القرار. وقد علم، شفويا وأمام ثلاثة من زملائه — الذين أدلوا بشهاداتهم تحت الحجج عدد 6 و7 و8 — بأنه "أُعفي من مهامه بأثر فوري بسبب إعادة هيكلة المصلحة".</w:t>
      </w:r>
    </w:p>
    <w:p>
      <w:pPr>
        <w:spacing w:line="360" w:lineRule="auto" w:after="200"/>
        <w:ind w:firstLine="340"/>
        <w:jc w:val="right"/>
      </w:pPr>
      <w:r>
        <w:rPr>
          <w:rFonts w:ascii="Calibri" w:hAnsi="Calibri"/>
          <w:b w:val="0"/>
          <w:sz w:val="24"/>
          <w:rtl w:val="0"/>
        </w:rPr>
        <w:t>وبتاريخ 22 يناير 2025، وجّه موكلي، بواسطة مكتبي، إنذارا للشركة، ظل بدون جواب إلى يومنا هذا (الحجة عدد 9، مرفقة بإشعار التوصل المؤرخ في 24 يناير 2025).</w:t>
      </w:r>
    </w:p>
    <w:p>
      <w:pPr>
        <w:spacing w:line="360" w:lineRule="auto" w:before="280" w:after="160"/>
        <w:ind w:firstLine="0"/>
        <w:jc w:val="right"/>
        <w:pBdr>
          <w:bottom w:val="single" w:sz="6" w:space="1" w:color="1F4E79"/>
        </w:pBdr>
      </w:pPr>
      <w:r>
        <w:rPr>
          <w:rFonts w:ascii="Traditional Arabic" w:hAnsi="Traditional Arabic" w:cs="Traditional Arabic"/>
          <w:b/>
          <w:color w:val="1F4E79"/>
          <w:sz w:val="26"/>
        </w:rPr>
        <w:t>أولاً : في خرق مسطرة الفصل</w:t>
      </w:r>
    </w:p>
    <w:p>
      <w:pPr>
        <w:spacing w:line="360" w:lineRule="auto" w:after="200"/>
        <w:ind w:firstLine="340"/>
        <w:jc w:val="right"/>
      </w:pPr>
      <w:r>
        <w:rPr>
          <w:rFonts w:ascii="Calibri" w:hAnsi="Calibri"/>
          <w:b w:val="0"/>
          <w:sz w:val="24"/>
          <w:rtl w:val="0"/>
        </w:rPr>
        <w:t>تلزم المادة 62 من القانون رقم 65.99 المتعلق بمدونة الشغل المشغل، قبل الإقدام على أي فصل بسبب خطأ، باستدعاء الأجير لمقابلة يتمكن خلالها من الدفاع عن نفسه، بمساعدة مندوب الأجراء إن رغب في ذلك، داخل أجل ثمانية أيام من تاريخ معاينة الخطأ المنسوب إليه.</w:t>
      </w:r>
    </w:p>
    <w:p>
      <w:pPr>
        <w:spacing w:line="360" w:lineRule="auto" w:after="200"/>
        <w:ind w:firstLine="340"/>
        <w:jc w:val="right"/>
      </w:pPr>
      <w:r>
        <w:rPr>
          <w:rFonts w:ascii="Calibri" w:hAnsi="Calibri"/>
          <w:b w:val="0"/>
          <w:sz w:val="24"/>
          <w:rtl w:val="0"/>
        </w:rPr>
        <w:t>غير أن شركة أطلس تكستيل لم تُدلِ، في مذكرتها الجوابية المؤرخة في 5 مارس 2025، بأي استدعاء، ولا بأي محضر مقابلة، ولا بأي وثيقة كتابية سابقة لتاريخ 17 يناير 2025. بل إنها أثارت، ولأول مرة في هذه المذكرة، "سببا اقتصاديا يتعلق بإعادة الهيكلة"، دون الإدلاء بأي وثيقة محاسبية، أو محضر للجنة المقاولة، أو ترخيص من عامل العمالة أو الإقليم — رغم أن المادة 66 من مدونة الشغل توجب ذلك في حالة الفصل لأسباب تكنولوجية أو هيكلية أو اقتصادية داخل مقاولة يفوق عدد أجرائها عشرة.</w:t>
      </w:r>
    </w:p>
    <w:p>
      <w:pPr>
        <w:spacing w:line="360" w:lineRule="auto" w:after="200"/>
        <w:ind w:firstLine="340"/>
        <w:jc w:val="right"/>
      </w:pPr>
      <w:r>
        <w:rPr>
          <w:rFonts w:ascii="Calibri" w:hAnsi="Calibri"/>
          <w:b w:val="0"/>
          <w:sz w:val="24"/>
          <w:rtl w:val="0"/>
        </w:rPr>
        <w:t>وقد أكدت محكمة النقض مرارا، ولا سيما في قرار الغرفة الاجتماعية الصادر بتاريخ 12 ماي 2021 (ملف اجتماعي عدد 2245/</w:t>
      </w:r>
      <w:r>
        <w:rPr>
          <w:rFonts w:ascii="Calibri" w:hAnsi="Calibri"/>
          <w:b w:val="0"/>
          <w:sz w:val="24"/>
          <w:rtl w:val="0"/>
        </w:rPr>
        <w:t>5/1/2020</w:t>
      </w:r>
      <w:r>
        <w:rPr>
          <w:rFonts w:ascii="Traditional Arabic" w:hAnsi="Traditional Arabic" w:cs="Traditional Arabic"/>
          <w:b w:val="0"/>
          <w:sz w:val="24"/>
        </w:rPr>
        <w:t>)، أن انعدام الاستدعاء المسبق يجعل الفصل تعسفيا بقوة القانون، دون أن يجوز للمشغل أن يحتج لاحقا بسبب اقتصادي لم تُحترم بشأنه المسطرة القانونية.</w:t>
      </w:r>
    </w:p>
    <w:p>
      <w:pPr>
        <w:spacing w:line="360" w:lineRule="auto" w:before="280" w:after="160"/>
        <w:ind w:firstLine="0"/>
        <w:jc w:val="right"/>
        <w:pBdr>
          <w:bottom w:val="single" w:sz="6" w:space="1" w:color="1F4E79"/>
        </w:pBdr>
      </w:pPr>
      <w:r>
        <w:rPr>
          <w:rFonts w:ascii="Traditional Arabic" w:hAnsi="Traditional Arabic" w:cs="Traditional Arabic"/>
          <w:b/>
          <w:color w:val="1F4E79"/>
          <w:sz w:val="26"/>
        </w:rPr>
        <w:t>ثانياً : في انعدام السبب الاقتصادي الحقيقي والجدي</w:t>
      </w:r>
    </w:p>
    <w:p>
      <w:pPr>
        <w:spacing w:line="360" w:lineRule="auto" w:after="200"/>
        <w:ind w:firstLine="340"/>
        <w:jc w:val="right"/>
      </w:pPr>
      <w:r>
        <w:rPr>
          <w:rFonts w:ascii="Calibri" w:hAnsi="Calibri"/>
          <w:b w:val="0"/>
          <w:sz w:val="24"/>
          <w:rtl w:val="0"/>
        </w:rPr>
        <w:t>تؤكد الشركة المدعى عليها، في مذكراتها، أنها ألغت منصب موكلي "في إطار إعادة الهيكلة". غير أن كشوفات الأجور المدلى بها من طرف المدعى عليها ذاتها (حجة الخصم عدد 3) تُبين أن منصب رئيس فريق ورشة الصباغة قد شُغل، ابتداء من 3 فبراير 2025، من طرف السيد حمزة الإدريسي، الذي التحق بموجب عقد محدد المدة — أي بعد سبعة عشر يوما فقط من مغادرة موكلي.</w:t>
      </w:r>
    </w:p>
    <w:p>
      <w:pPr>
        <w:spacing w:line="360" w:lineRule="auto" w:after="200"/>
        <w:ind w:firstLine="340"/>
        <w:jc w:val="right"/>
      </w:pPr>
      <w:r>
        <w:rPr>
          <w:rFonts w:ascii="Traditional Arabic" w:hAnsi="Traditional Arabic" w:cs="Traditional Arabic"/>
          <w:b w:val="0"/>
          <w:sz w:val="24"/>
        </w:rPr>
        <w:t>فلا وجود إذن لأي إلغاء للمنصب ولا لأي إعادة هيكلة حقيقية: المنصب لا يزال قائما، ويشغله أجير آخر. والسبب المثار ما هو إلا ذريعة لإخفاء فصل تعسفي.</w:t>
      </w:r>
    </w:p>
    <w:p>
      <w:pPr>
        <w:spacing w:line="360" w:lineRule="auto" w:before="280" w:after="160"/>
        <w:ind w:firstLine="0"/>
        <w:jc w:val="right"/>
        <w:pBdr>
          <w:bottom w:val="single" w:sz="6" w:space="1" w:color="1F4E79"/>
        </w:pBdr>
      </w:pPr>
      <w:r>
        <w:rPr>
          <w:rFonts w:ascii="Traditional Arabic" w:hAnsi="Traditional Arabic" w:cs="Traditional Arabic"/>
          <w:b/>
          <w:color w:val="1F4E79"/>
          <w:sz w:val="26"/>
        </w:rPr>
        <w:t>ثالثاً : في الضرر وكيفية احتساب التعويض</w:t>
      </w:r>
    </w:p>
    <w:p>
      <w:pPr>
        <w:spacing w:line="360" w:lineRule="auto" w:after="200"/>
        <w:ind w:firstLine="340"/>
        <w:jc w:val="right"/>
      </w:pPr>
      <w:r>
        <w:rPr>
          <w:rFonts w:ascii="Calibri" w:hAnsi="Calibri"/>
          <w:b w:val="0"/>
          <w:sz w:val="24"/>
          <w:rtl w:val="0"/>
        </w:rPr>
        <w:t>كان السيد العمراني يتقاضى، عند مغادرته، أجرة شهرية إجمالية قدرها 6800 درهم (الحجة عدد 4، آخر كشوفات الأجور). وأقدميته إحدى عشرة سنة كاملة.</w:t>
      </w:r>
    </w:p>
    <w:p>
      <w:pPr>
        <w:spacing w:line="360" w:lineRule="auto" w:after="200"/>
        <w:ind w:firstLine="340"/>
        <w:jc w:val="right"/>
      </w:pPr>
      <w:r>
        <w:rPr>
          <w:rFonts w:ascii="Calibri" w:hAnsi="Calibri"/>
          <w:b w:val="0"/>
          <w:sz w:val="24"/>
          <w:rtl w:val="0"/>
        </w:rPr>
        <w:t>وعلى هذا الأساس، وطبقا للمادة 41 من مدونة الشغل، يُحتسب التعويض عن الفصل التعسفي كالتالي:</w:t>
      </w:r>
    </w:p>
    <w:p>
      <w:pPr>
        <w:spacing w:line="360" w:lineRule="auto" w:after="200"/>
        <w:ind w:firstLine="340"/>
        <w:jc w:val="right"/>
      </w:pPr>
      <w:r>
        <w:rPr>
          <w:rFonts w:ascii="Calibri" w:hAnsi="Calibri"/>
          <w:b w:val="0"/>
          <w:sz w:val="24"/>
          <w:rtl w:val="0"/>
        </w:rPr>
        <w:t>التعويض عن الفصل التعسفي: أجرة شهر ونصف عن كل سنة أقدمية، في حدود سقف 36 شهرا ← 6800 × 1.5 × 11 = 112,200 درهم</w:t>
      </w:r>
    </w:p>
    <w:p>
      <w:pPr>
        <w:spacing w:line="360" w:lineRule="auto" w:after="200"/>
        <w:ind w:firstLine="340"/>
        <w:jc w:val="right"/>
      </w:pPr>
      <w:r>
        <w:rPr>
          <w:rFonts w:ascii="Calibri" w:hAnsi="Calibri"/>
          <w:b w:val="0"/>
          <w:sz w:val="24"/>
          <w:rtl w:val="0"/>
        </w:rPr>
        <w:t>تعويض عن الإخطار (غير المحترم، والأقدمية تفوق خمس سنوات، أي شهران من الإخطار طبقا للمادة 51) ← 6800 × 2 = 13,600 درهم</w:t>
      </w:r>
    </w:p>
    <w:p>
      <w:pPr>
        <w:spacing w:line="360" w:lineRule="auto" w:after="200"/>
        <w:ind w:firstLine="340"/>
        <w:jc w:val="right"/>
      </w:pPr>
      <w:r>
        <w:rPr>
          <w:rFonts w:ascii="Calibri" w:hAnsi="Calibri"/>
          <w:b w:val="0"/>
          <w:sz w:val="24"/>
          <w:rtl w:val="0"/>
        </w:rPr>
        <w:t>تعويض الفصل القانوني (المادة 53)، محتسبا حسب شرائح الأقدمية ← 20,604 درهم</w:t>
      </w:r>
    </w:p>
    <w:p>
      <w:pPr>
        <w:spacing w:line="360" w:lineRule="auto" w:after="200"/>
        <w:ind w:firstLine="340"/>
        <w:jc w:val="right"/>
      </w:pPr>
      <w:r>
        <w:rPr>
          <w:rFonts w:ascii="Calibri" w:hAnsi="Calibri"/>
          <w:b w:val="0"/>
          <w:sz w:val="24"/>
          <w:rtl w:val="0"/>
        </w:rPr>
        <w:t>باقي العطلة السنوية المدفوعة (18 يوما غير مستوفاة) ← 4,080 درهم</w:t>
      </w:r>
    </w:p>
    <w:p>
      <w:pPr>
        <w:spacing w:line="360" w:lineRule="auto" w:after="200"/>
        <w:ind w:firstLine="340"/>
        <w:jc w:val="right"/>
      </w:pPr>
      <w:r>
        <w:rPr>
          <w:rFonts w:ascii="Calibri" w:hAnsi="Calibri"/>
          <w:b w:val="0"/>
          <w:sz w:val="24"/>
          <w:rtl w:val="0"/>
        </w:rPr>
        <w:t>تعويض عن الضرر المعنوي، الناتج عن الظروف المهينة التي رافقت الفصل (الإقصاء العلني، وانعدام أي تفسير بعد إحدى عشرة سنة من الخدمة) ← نلتمس مبلغ 30,000 درهم</w:t>
      </w:r>
    </w:p>
    <w:p>
      <w:pPr>
        <w:spacing w:line="360" w:lineRule="auto" w:after="200"/>
        <w:ind w:firstLine="340"/>
        <w:jc w:val="right"/>
      </w:pPr>
      <w:r>
        <w:rPr>
          <w:rFonts w:ascii="Calibri" w:hAnsi="Calibri"/>
          <w:b w:val="0"/>
          <w:sz w:val="24"/>
          <w:rtl w:val="0"/>
        </w:rPr>
        <w:t>أي ما مجموعه 180,484 درهم، مفصّل في الجدول المرفق بمذكرتنا الكتابية المؤرخة في 10 مارس 2025.</w:t>
      </w:r>
    </w:p>
    <w:p>
      <w:pPr>
        <w:spacing w:line="360" w:lineRule="auto" w:before="280" w:after="160"/>
        <w:ind w:firstLine="0"/>
        <w:jc w:val="right"/>
        <w:pBdr>
          <w:bottom w:val="single" w:sz="6" w:space="1" w:color="1F4E79"/>
        </w:pBdr>
      </w:pPr>
      <w:r>
        <w:rPr>
          <w:rFonts w:ascii="Traditional Arabic" w:hAnsi="Traditional Arabic" w:cs="Traditional Arabic"/>
          <w:b/>
          <w:color w:val="1F4E79"/>
          <w:sz w:val="26"/>
        </w:rPr>
        <w:t>رابعاً : في النفاذ المعجل</w:t>
      </w:r>
    </w:p>
    <w:p>
      <w:pPr>
        <w:spacing w:line="360" w:lineRule="auto" w:after="200"/>
        <w:ind w:firstLine="340"/>
        <w:jc w:val="right"/>
      </w:pPr>
      <w:r>
        <w:rPr>
          <w:rFonts w:ascii="Calibri" w:hAnsi="Calibri"/>
          <w:b w:val="0"/>
          <w:sz w:val="24"/>
          <w:rtl w:val="0"/>
        </w:rPr>
        <w:t>السيد العمراني أب لطفلين متمدرسَين، وهو عاطل عن العمل منذ ثمانية أشهر. ويوجد في وضعية هشاشة لا يمكن تجاوزها إلا بتنفيذ سريع للحكم. لذا نلتمس النطق بالنفاذ المعجل رغم الاستئناف، طبقا للمادة 149 من قانون المسطرة المدنية، باعتبار الدين دينا أجريا ذا طابع غذائي.</w:t>
      </w:r>
    </w:p>
    <w:p>
      <w:pPr>
        <w:spacing w:line="360" w:lineRule="auto" w:before="280" w:after="160"/>
        <w:ind w:firstLine="0"/>
        <w:jc w:val="right"/>
        <w:pBdr>
          <w:bottom w:val="single" w:sz="6" w:space="1" w:color="1F4E79"/>
        </w:pBdr>
      </w:pPr>
      <w:r>
        <w:rPr>
          <w:rFonts w:ascii="Traditional Arabic" w:hAnsi="Traditional Arabic" w:cs="Traditional Arabic"/>
          <w:b/>
          <w:color w:val="1F4E79"/>
          <w:sz w:val="26"/>
        </w:rPr>
        <w:t>خامساً : المنطوق الملتمس</w:t>
      </w:r>
    </w:p>
    <w:p>
      <w:pPr>
        <w:spacing w:line="360" w:lineRule="auto" w:before="280" w:after="160"/>
        <w:ind w:firstLine="0"/>
        <w:jc w:val="right"/>
        <w:pBdr>
          <w:bottom w:val="single" w:sz="6" w:space="1" w:color="1F4E79"/>
        </w:pBdr>
      </w:pPr>
      <w:r>
        <w:rPr>
          <w:rFonts w:ascii="Calibri" w:hAnsi="Calibri"/>
          <w:b/>
          <w:color w:val="1F4E79"/>
          <w:sz w:val="26"/>
          <w:rtl w:val="0"/>
        </w:rPr>
        <w:t>لهذه الأسباب، يلتمس من المحكمة الموقرة:</w:t>
        <w:br/>
        <w:t>القول والحكم بأن فصل السيد يوسف العمراني، الحاصل بتاريخ 17 يناير 2025، فصل تعسفي لا يستند إلى سبب حقيقي وجدي؛</w:t>
        <w:br/>
        <w:t>الحكم على شركة أطلس تكستيل ذ.م.م بأدائها لفائدة المدعي مبلغ 180,484 درهم المفصل أعلاه؛</w:t>
        <w:br/>
        <w:t>الأمر بتسليم شهادة العمل ووصل التصفية النهائي، تحت طائلة غرامة تهديدية قدرها 500 درهم عن كل يوم تأخير؛</w:t>
        <w:br/>
        <w:t>الأمر بالنفاذ المعجل رغم الاستئناف؛</w:t>
        <w:br/>
        <w:t>الحكم على المدعى عليها بأداء الصائر.</w:t>
        <w:br/>
        <w:t>وشكرا، السيد الرئيس.</w:t>
      </w:r>
    </w:p>
    <w:p>
      <w:pPr>
        <w:spacing w:line="360" w:lineRule="auto" w:before="200" w:after="120"/>
        <w:ind w:firstLine="0"/>
        <w:jc w:val="right"/>
        <w:keepNext/>
      </w:pPr>
      <w:r>
        <w:rPr>
          <w:rFonts w:ascii="Traditional Arabic" w:hAnsi="Traditional Arabic" w:cs="Traditional Arabic"/>
          <w:b/>
          <w:sz w:val="24"/>
        </w:rPr>
        <w:t>واحسبكم على حسن استماعكم، وتقبلوا فائق الاحترام والتقدير.</w:t>
      </w:r>
    </w:p>
    <w:p>
      <w:pPr>
        <w:spacing w:line="360" w:lineRule="auto" w:before="200" w:after="120"/>
        <w:ind w:firstLine="0"/>
        <w:jc w:val="right"/>
        <w:keepNext/>
      </w:pPr>
      <w:r>
        <w:rPr>
          <w:rFonts w:ascii="Traditional Arabic" w:hAnsi="Traditional Arabic" w:cs="Traditional Arabic"/>
          <w:b/>
          <w:sz w:val="24"/>
        </w:rPr>
        <w:t>وذلك مع الاحتفاظ لموكلنا بكافة حقوقه القانونية الأخرى، تحت جميع التحفظات الشرعية والقانونية.</w:t>
      </w:r>
    </w:p>
    <w:p>
      <w:pPr>
        <w:spacing w:before="240" w:after="0"/>
        <w:jc w:val="right"/>
        <w:keepNext/>
      </w:pPr>
      <w:r>
        <w:rPr>
          <w:rFonts w:ascii="Traditional Arabic" w:hAnsi="Traditional Arabic" w:cs="Traditional Arabic"/>
          <w:b/>
        </w:rPr>
        <w:t>حرر بـ الدار البيضاء</w:t>
        <w:br/>
        <w:t>التوقيع</w:t>
        <w:br/>
        <w:t>دعاء العسال</w:t>
        <w:br/>
        <w:t>خاتم المحامي</w:t>
      </w:r>
    </w:p>
    <w:sectPr w:rsidR="00FC693F" w:rsidRPr="0006063C" w:rsidSect="00034616">
      <w:pgSz w:w="11906" w:h="16838"/>
      <w:pgMar w:top="1020"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raditional Arabic" w:hAnsi="Traditional Arabic" w:cs="Traditional Arabic"/>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