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155"/>
        <w:tblGridChange w:id="0">
          <w:tblGrid>
            <w:gridCol w:w="2115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20/11/2023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COMIENZO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11:00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HORA FIN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13:00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Extraordinaria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MODALIDAD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Telemática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95"/>
        <w:gridCol w:w="3285"/>
        <w:gridCol w:w="2040"/>
        <w:gridCol w:w="1320"/>
        <w:tblGridChange w:id="0">
          <w:tblGrid>
            <w:gridCol w:w="2595"/>
            <w:gridCol w:w="3285"/>
            <w:gridCol w:w="2040"/>
            <w:gridCol w:w="1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APELLIDOS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14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Durán Lengo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 Lucía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Varela Soult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1E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Rodríguez García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Álvaro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23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Ortega García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Manuel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Director del proyecto</w:t>
            </w:r>
          </w:p>
          <w:p w:rsidR="00000000" w:rsidDel="00000000" w:rsidP="00000000" w:rsidRDefault="00000000" w:rsidRPr="00000000" w14:paraId="00000028">
            <w:pPr>
              <w:spacing w:after="120" w:before="12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Equipo desarrollo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Codesal Martínez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Alonso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20" w:before="12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ORDEN DEL DÍA</w:t>
      </w:r>
    </w:p>
    <w:tbl>
      <w:tblPr>
        <w:tblStyle w:val="Table3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Sprint Review y Sprint Retrospective de la 1ª iteración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el Informe de Desempeño del equipo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el Informe de Seguimiento del Proyecto con MS Project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Aclarar las dudas que tengamos acerca del desarrollo del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DESARROLLO DE LA REUNIÓN</w:t>
      </w:r>
    </w:p>
    <w:tbl>
      <w:tblPr>
        <w:tblStyle w:val="Table4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realiza el Sprint Retrospective, abarcando los apartados: ¿Qué ha ido bien?, ¿Qué ha ido mal?, ¿Qué podemos mejorar? y ¿Qué debemos mantener?</w:t>
              <w:br w:type="textWrapping"/>
              <w:t xml:space="preserve">Por otro lado, realizamos el Sprint Review, indicando los requisitos que hemos implementado en esta primera iteración del proyecto, y lo que falta por hacer.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Realizamos el Informe de Desempeño del equipo de trabajo, mirando detalladamente el Sprint Backlog y calculando el porcentaje de tareas completadas.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Realizamos el Informe de Seguimiento del proyecto, añadiendo las horas reales empleadas en cada paquete de trabajo en MS Project.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habló sobre el documento de Registro de Incidencias y se tomaron algunas decisiones sobre la forma de llevar a cabo algunos requisitos en el Registro de Decisiones.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d9d9d9" w:val="clear"/>
        <w:spacing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CIERRE DE LA REUNIÓN</w:t>
      </w:r>
    </w:p>
    <w:tbl>
      <w:tblPr>
        <w:tblStyle w:val="Table5"/>
        <w:tblW w:w="92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40"/>
        <w:tblGridChange w:id="0">
          <w:tblGrid>
            <w:gridCol w:w="92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levantó la sesión de la reunión a las 13:00 del día 20 de noviembre de 2023.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line="240" w:lineRule="auto"/>
      <w:jc w:val="center"/>
      <w:rPr/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ACTA DE REUNIÓN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