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02/12/2023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02/12/2023</w:t>
            </w:r>
          </w:p>
        </w:tc>
      </w:tr>
    </w:tbl>
    <w:p w:rsidR="00000000" w:rsidDel="00000000" w:rsidP="00000000" w:rsidRDefault="00000000" w:rsidRPr="00000000" w14:paraId="0000001B">
      <w:pPr>
        <w:spacing w:after="28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Rule="auto"/>
        <w:rPr/>
      </w:pPr>
      <w:r w:rsidDel="00000000" w:rsidR="00000000" w:rsidRPr="00000000">
        <w:rPr>
          <w:rtl w:val="0"/>
        </w:rPr>
        <w:t xml:space="preserve">En el Sprint Review de la 3ª iteración, llevado a cabo en la reunión del día 2 de diciembre, se comenzó presentando la aplicación, la cual tenía todos los requisitos restantes implementados: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primer lugar, vimos las entidades que hemos creado para la aplicación y hemos analizado si cumplían con las historias de usuarios de requisitos de información que aparecen en el Sprint Backlog. Los usuarios se denominan “Users”, los pedidos “Orders”, los productos “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”, los administradores “Users con status de Staff”, las categorías son un atributo de “Users”, y las opiniones “Opinions”.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otra parte, el cliente puede elegir entre una dirección de envío o recogida en tienda, así como pagar con tarjeta o contrareembolso. Al terminar el pago, se recibe un correo electrónico con los datos de la factura.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se accede a una vista de la tienda web donde poder editar cada producto del catálogo, así como sus detalles. El administrador también puede editar datos del cliente y hacer seguimiento de pedidos.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Respecto a las opiniones, los usuarios pueden escribir comentarios </w:t>
      </w:r>
      <w:r w:rsidDel="00000000" w:rsidR="00000000" w:rsidRPr="00000000">
        <w:rPr>
          <w:rtl w:val="0"/>
        </w:rPr>
        <w:t xml:space="preserve">en la vista</w:t>
      </w:r>
      <w:r w:rsidDel="00000000" w:rsidR="00000000" w:rsidRPr="00000000">
        <w:rPr>
          <w:rtl w:val="0"/>
        </w:rPr>
        <w:t xml:space="preserve"> de detalles de cualquier pedido.</w:t>
      </w:r>
    </w:p>
    <w:p w:rsidR="00000000" w:rsidDel="00000000" w:rsidP="00000000" w:rsidRDefault="00000000" w:rsidRPr="00000000" w14:paraId="00000022">
      <w:pPr>
        <w:spacing w:after="280" w:lineRule="auto"/>
        <w:ind w:left="0" w:firstLine="0"/>
        <w:rPr/>
      </w:pPr>
      <w:r w:rsidDel="00000000" w:rsidR="00000000" w:rsidRPr="00000000">
        <w:rPr>
          <w:rtl w:val="0"/>
        </w:rPr>
        <w:t xml:space="preserve">Respecto a la documentación, se cerraron los documentos del Sprint Backlog 3 y el Product Backlog, donde analizamos el estado de cada requisito y se marcaron como “Hecho” todos aquellos que fueron terminados.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REVIEW 3ª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