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193E41CA" w:rsidR="00893004" w:rsidRDefault="00C816FD" w:rsidP="00893004">
      <w:pPr>
        <w:pStyle w:val="Title"/>
      </w:pPr>
      <w:r>
        <w:t xml:space="preserve">Identifying Opinions of </w:t>
      </w:r>
      <w:r w:rsidR="00C231E2" w:rsidRPr="00C231E2">
        <w:t>Toronto Neighborhood</w:t>
      </w:r>
      <w:r w:rsidR="008A3C45">
        <w:t>s</w:t>
      </w:r>
      <w:r w:rsidR="00C231E2" w:rsidRPr="00C231E2">
        <w:t xml:space="preserve"> </w:t>
      </w:r>
      <w:r w:rsidR="00F375F8">
        <w:t>from</w:t>
      </w:r>
      <w:r>
        <w:t xml:space="preserve"> Twitter </w:t>
      </w:r>
      <w:r w:rsidR="008A3C45">
        <w:t>Using Sentiment Analysis</w:t>
      </w:r>
    </w:p>
    <w:p w14:paraId="210B8739" w14:textId="5EB8546D" w:rsidR="00813378" w:rsidRDefault="003F6661" w:rsidP="003F6661">
      <w:pPr>
        <w:pStyle w:val="Heading1"/>
      </w:pPr>
      <w:r>
        <w:t>Introduction</w:t>
      </w:r>
      <w:r w:rsidR="007C637A">
        <w:t xml:space="preserve"> </w:t>
      </w:r>
    </w:p>
    <w:p w14:paraId="2074C3F3" w14:textId="108F8E32" w:rsidR="00E65683" w:rsidRDefault="008A3C45" w:rsidP="008A3C45">
      <w:r>
        <w:t>The way neighbourhoods are perceived by its residents or the general public plays an important role in understanding measures like neighbourhood quality, residential mobility patterns, the price of homes and the general well-being of residents</w:t>
      </w:r>
      <w:r w:rsidR="009D3A08">
        <w:t xml:space="preserve"> (</w:t>
      </w:r>
      <w:proofErr w:type="spellStart"/>
      <w:r w:rsidR="009D3A08" w:rsidRPr="009D3A08">
        <w:t>Permentier</w:t>
      </w:r>
      <w:proofErr w:type="spellEnd"/>
      <w:r w:rsidR="009D3A08" w:rsidRPr="009D3A08">
        <w:t xml:space="preserve"> </w:t>
      </w:r>
      <w:r w:rsidR="00CE10F2">
        <w:t>&amp; van Ham</w:t>
      </w:r>
      <w:r w:rsidR="009D3A08" w:rsidRPr="009D3A08">
        <w:t>, 2011)</w:t>
      </w:r>
      <w:r>
        <w:t>.  City initiatives like Edmonton’s Neighbourhood Revitalization Program understand that well-built neighbourhoods support residents’ quality-of-life.</w:t>
      </w:r>
      <w:r w:rsidR="009D3A08">
        <w:rPr>
          <w:rStyle w:val="FootnoteReference"/>
        </w:rPr>
        <w:footnoteReference w:id="1"/>
      </w:r>
      <w:r>
        <w:t xml:space="preserve"> These initiatives look to engage with citizens to determine which neighbourhoods need to be prioritized for renewal. </w:t>
      </w:r>
    </w:p>
    <w:p w14:paraId="524F644E" w14:textId="0A3E1262" w:rsidR="003F6661" w:rsidRDefault="00E65683" w:rsidP="008A3C45">
      <w:r>
        <w:t>One of t</w:t>
      </w:r>
      <w:r w:rsidR="00080328">
        <w:t>he challenge</w:t>
      </w:r>
      <w:r>
        <w:t>s</w:t>
      </w:r>
      <w:r w:rsidR="00080328">
        <w:t xml:space="preserve"> </w:t>
      </w:r>
      <w:r>
        <w:t xml:space="preserve">that </w:t>
      </w:r>
      <w:r w:rsidR="00080328">
        <w:t xml:space="preserve">governments and organizations face with neighbourhood revitalization initiatives </w:t>
      </w:r>
      <w:r>
        <w:t xml:space="preserve">is </w:t>
      </w:r>
      <w:r w:rsidR="00EE0602">
        <w:t xml:space="preserve">in collecting and analyzing the </w:t>
      </w:r>
      <w:r w:rsidR="00080328">
        <w:t>measures</w:t>
      </w:r>
      <w:r w:rsidR="00747EA2">
        <w:t xml:space="preserve"> </w:t>
      </w:r>
      <w:r w:rsidR="00CD0369">
        <w:t xml:space="preserve">or evidence </w:t>
      </w:r>
      <w:r w:rsidR="00747EA2">
        <w:t>that</w:t>
      </w:r>
      <w:r w:rsidR="00080328">
        <w:t xml:space="preserve"> can be used to </w:t>
      </w:r>
      <w:r>
        <w:t>prioritize which neighbourhoods are most in need of investment</w:t>
      </w:r>
      <w:r w:rsidR="00080328">
        <w:t xml:space="preserve"> (Strong Neighbourhood Task Force, 2005).  </w:t>
      </w:r>
      <w:r w:rsidR="0053242A">
        <w:t>A tool</w:t>
      </w:r>
      <w:r w:rsidR="00747EA2">
        <w:t xml:space="preserve"> that is sometimes used when doing this type of planning is a </w:t>
      </w:r>
      <w:r w:rsidR="00CD0369">
        <w:t>civic</w:t>
      </w:r>
      <w:r w:rsidR="00747EA2">
        <w:t xml:space="preserve"> survey.</w:t>
      </w:r>
      <w:r w:rsidR="00CD0369">
        <w:t xml:space="preserve"> </w:t>
      </w:r>
      <w:r w:rsidR="0090309A">
        <w:t>For example, i</w:t>
      </w:r>
      <w:r w:rsidR="00CD0369">
        <w:t xml:space="preserve">n 2018, the City of Saskatoon </w:t>
      </w:r>
      <w:r w:rsidR="00A9649C">
        <w:t xml:space="preserve">put out their </w:t>
      </w:r>
      <w:r w:rsidR="00A9649C" w:rsidRPr="00A9649C">
        <w:t>Civic Services Survey: Performance, Priorities &amp; Preferences</w:t>
      </w:r>
      <w:r w:rsidR="00A9649C">
        <w:t xml:space="preserve"> </w:t>
      </w:r>
      <w:r w:rsidR="00A9649C" w:rsidRPr="00A9649C">
        <w:t xml:space="preserve">to gather insights on residents’ experience/impressions related to the quality of </w:t>
      </w:r>
      <w:r w:rsidR="009609FE">
        <w:t xml:space="preserve">areas such as </w:t>
      </w:r>
      <w:r w:rsidR="00A9649C" w:rsidRPr="00A9649C">
        <w:t>community and public services</w:t>
      </w:r>
      <w:r w:rsidR="009609FE">
        <w:t xml:space="preserve"> </w:t>
      </w:r>
      <w:r w:rsidR="00A9649C" w:rsidRPr="00A9649C">
        <w:t>and recreation and culture services.</w:t>
      </w:r>
      <w:r w:rsidR="00A9649C">
        <w:rPr>
          <w:rStyle w:val="FootnoteReference"/>
        </w:rPr>
        <w:footnoteReference w:id="2"/>
      </w:r>
      <w:r w:rsidR="005864D7">
        <w:t xml:space="preserve"> </w:t>
      </w:r>
    </w:p>
    <w:p w14:paraId="01A33FAF" w14:textId="77777777" w:rsidR="00EE0602" w:rsidRDefault="00EE0602" w:rsidP="00E47684">
      <w:r>
        <w:t xml:space="preserve">Though civic surveys are useful ways to obtain residents opinions and data, there are emerging </w:t>
      </w:r>
      <w:r w:rsidR="007D0CC1">
        <w:t>ways to</w:t>
      </w:r>
      <w:r>
        <w:t xml:space="preserve"> gather the information needed t</w:t>
      </w:r>
      <w:r w:rsidR="007D0CC1">
        <w:t xml:space="preserve">hat can be used to prioritize neighbourhoods by utilizing </w:t>
      </w:r>
      <w:r>
        <w:t xml:space="preserve">the stores of </w:t>
      </w:r>
      <w:r w:rsidR="007D0CC1">
        <w:t>“big data”</w:t>
      </w:r>
      <w:r>
        <w:t xml:space="preserve"> available on the internet</w:t>
      </w:r>
      <w:r w:rsidR="007D0CC1">
        <w:t>. Specifically, by analyzing Twitter posts</w:t>
      </w:r>
      <w:r w:rsidR="00E47684">
        <w:t xml:space="preserve"> or </w:t>
      </w:r>
      <w:r w:rsidR="00E47684" w:rsidRPr="00E47684">
        <w:rPr>
          <w:i/>
          <w:iCs/>
        </w:rPr>
        <w:t>tweets</w:t>
      </w:r>
      <w:r w:rsidR="00FD14A9">
        <w:t xml:space="preserve">. </w:t>
      </w:r>
      <w:r w:rsidR="00EC5DA9">
        <w:t xml:space="preserve">Twitter </w:t>
      </w:r>
      <w:r w:rsidR="00E47684">
        <w:t xml:space="preserve">contains vast amounts of publicly accessible data that is produced by its approximately </w:t>
      </w:r>
      <w:r w:rsidR="00E47684" w:rsidRPr="00E47684">
        <w:t>126 million</w:t>
      </w:r>
      <w:r w:rsidR="00E47684">
        <w:t xml:space="preserve"> active users</w:t>
      </w:r>
      <w:r w:rsidR="00B5330A">
        <w:t xml:space="preserve"> as reported in 2019</w:t>
      </w:r>
      <w:r w:rsidR="00E47684">
        <w:t>.</w:t>
      </w:r>
      <w:r w:rsidR="00E47684">
        <w:rPr>
          <w:rStyle w:val="FootnoteReference"/>
        </w:rPr>
        <w:footnoteReference w:id="3"/>
      </w:r>
      <w:r w:rsidR="00E47684">
        <w:t xml:space="preserve"> </w:t>
      </w:r>
      <w:r w:rsidR="0053242A" w:rsidRPr="0053242A">
        <w:t>Justin Hollander, an associate professor of urban and environmental policy and planning at Tufts</w:t>
      </w:r>
      <w:r w:rsidR="0053242A">
        <w:t>, running the Urban Attitudes Lab</w:t>
      </w:r>
      <w:r w:rsidR="0053242A">
        <w:rPr>
          <w:rStyle w:val="FootnoteReference"/>
        </w:rPr>
        <w:footnoteReference w:id="4"/>
      </w:r>
      <w:r w:rsidR="0053242A">
        <w:t xml:space="preserve"> believes that this type of data can be used to inform planning and policy and help us understand our cities (</w:t>
      </w:r>
      <w:proofErr w:type="spellStart"/>
      <w:r w:rsidR="00FD14A9" w:rsidRPr="00FD14A9">
        <w:t>Tuhus</w:t>
      </w:r>
      <w:proofErr w:type="spellEnd"/>
      <w:r w:rsidR="00FD14A9" w:rsidRPr="00FD14A9">
        <w:t>-Dubrow</w:t>
      </w:r>
      <w:r w:rsidR="00FD14A9">
        <w:t xml:space="preserve">, 2014, October 21). </w:t>
      </w:r>
    </w:p>
    <w:p w14:paraId="1C367CBC" w14:textId="4E9404F9" w:rsidR="00A87072" w:rsidRDefault="00EE0602" w:rsidP="00E47684">
      <w:r>
        <w:t>This paper</w:t>
      </w:r>
      <w:r w:rsidR="00123F17">
        <w:t xml:space="preserve"> will</w:t>
      </w:r>
      <w:r w:rsidR="002B4DAF">
        <w:t xml:space="preserve"> be exploring the field of</w:t>
      </w:r>
      <w:r w:rsidR="00123F17">
        <w:t xml:space="preserve"> </w:t>
      </w:r>
      <w:r w:rsidR="002B4DAF">
        <w:t xml:space="preserve">Sentiment Analysis (SA), </w:t>
      </w:r>
      <w:r w:rsidR="00C84684">
        <w:t xml:space="preserve">which </w:t>
      </w:r>
      <w:r w:rsidR="002B4DAF">
        <w:t>focus</w:t>
      </w:r>
      <w:r w:rsidR="00C84684">
        <w:t>es</w:t>
      </w:r>
      <w:r w:rsidR="002B4DAF">
        <w:t xml:space="preserve"> on analyzing the </w:t>
      </w:r>
      <w:r w:rsidR="00603097">
        <w:t xml:space="preserve">polarity of a given text, document or phrase categorizing and assigning the content a positive or negative sentiment (Ankit, 2018; </w:t>
      </w:r>
      <w:proofErr w:type="spellStart"/>
      <w:r w:rsidR="00603097">
        <w:t>Giachanou</w:t>
      </w:r>
      <w:proofErr w:type="spellEnd"/>
      <w:r w:rsidR="00603097">
        <w:t xml:space="preserve"> &amp; </w:t>
      </w:r>
      <w:proofErr w:type="spellStart"/>
      <w:r w:rsidR="00603097">
        <w:t>Crestani</w:t>
      </w:r>
      <w:proofErr w:type="spellEnd"/>
      <w:r w:rsidR="00603097">
        <w:t xml:space="preserve">, 2016). SA methods will be applied to </w:t>
      </w:r>
      <w:r w:rsidR="00905940">
        <w:t>tweets pulled from Twitter</w:t>
      </w:r>
      <w:r w:rsidR="00C84684">
        <w:t xml:space="preserve"> to </w:t>
      </w:r>
      <w:r w:rsidR="00C84684" w:rsidRPr="00C84684">
        <w:t xml:space="preserve">identify </w:t>
      </w:r>
      <w:r w:rsidR="00C84684">
        <w:t xml:space="preserve">the polarity of </w:t>
      </w:r>
      <w:r w:rsidR="00C84684" w:rsidRPr="00C84684">
        <w:t>sentiments</w:t>
      </w:r>
      <w:r w:rsidR="00C84684">
        <w:t xml:space="preserve"> </w:t>
      </w:r>
      <w:r w:rsidR="00C84684" w:rsidRPr="00C84684">
        <w:t xml:space="preserve">that people have </w:t>
      </w:r>
      <w:r w:rsidR="00C84684">
        <w:t>towards</w:t>
      </w:r>
      <w:r w:rsidR="00C84684" w:rsidRPr="00C84684">
        <w:t xml:space="preserve"> different Toronto neighbourhoods</w:t>
      </w:r>
      <w:r w:rsidR="00C84684">
        <w:t>. In presenting a practical approach to weighing and ranking sentiments of these neighbourhoods</w:t>
      </w:r>
      <w:r w:rsidR="00A540F6">
        <w:t xml:space="preserve">, this paper hopes to demonstrate the value that Twitter Sentiment Analysis (TSA) and </w:t>
      </w:r>
      <w:r w:rsidR="00A540F6">
        <w:lastRenderedPageBreak/>
        <w:t>SA of other social media platforms can have in informing revitalization initiatives, and areas such as city planning and policy development</w:t>
      </w:r>
      <w:r w:rsidR="00C84684">
        <w:t xml:space="preserve">. </w:t>
      </w:r>
    </w:p>
    <w:p w14:paraId="5EFD33DF" w14:textId="32BBCBDA" w:rsidR="00CE10F2" w:rsidRDefault="00D9252C" w:rsidP="00A70781">
      <w:pPr>
        <w:pStyle w:val="Heading1"/>
      </w:pPr>
      <w:r>
        <w:t>Literature Review</w:t>
      </w:r>
    </w:p>
    <w:p w14:paraId="2A6D8D0A" w14:textId="563D88D1" w:rsidR="00CE10F2" w:rsidRDefault="000A1B9A" w:rsidP="00CE10F2">
      <w:r>
        <w:t>Given that Twitter is a social phenomenon with vast global reach producing seemingly endless streams of data, it is no wonder that TSA is a field that has attracted much research interest in data science.</w:t>
      </w:r>
      <w:r w:rsidR="009109B5">
        <w:t xml:space="preserve"> </w:t>
      </w:r>
      <w:proofErr w:type="spellStart"/>
      <w:r w:rsidR="009109B5">
        <w:t>Giachanou</w:t>
      </w:r>
      <w:proofErr w:type="spellEnd"/>
      <w:r w:rsidR="009109B5">
        <w:t xml:space="preserve"> &amp; </w:t>
      </w:r>
      <w:proofErr w:type="spellStart"/>
      <w:r w:rsidR="009109B5">
        <w:t>Crestani’s</w:t>
      </w:r>
      <w:proofErr w:type="spellEnd"/>
      <w:r w:rsidR="009109B5">
        <w:t xml:space="preserve"> (2018) comprehensive survey</w:t>
      </w:r>
      <w:r w:rsidR="009109B5" w:rsidRPr="00CC62BC">
        <w:rPr>
          <w:i/>
          <w:iCs/>
        </w:rPr>
        <w:t>, Like It or Not: A Survey of Twitter Sentiment Analysis Methods</w:t>
      </w:r>
      <w:r w:rsidR="009109B5">
        <w:t>,</w:t>
      </w:r>
      <w:r>
        <w:t xml:space="preserve"> </w:t>
      </w:r>
      <w:r w:rsidR="009109B5">
        <w:t xml:space="preserve">helps paint a broad stroke of the studies </w:t>
      </w:r>
      <w:r w:rsidR="004814FA">
        <w:t xml:space="preserve">that have carried out sentiment analysis on Twitter data, categorizing them according to their approaches. </w:t>
      </w:r>
      <w:r w:rsidR="00B30B7C">
        <w:t>In addition,</w:t>
      </w:r>
      <w:r w:rsidR="008D3F96">
        <w:t xml:space="preserve"> </w:t>
      </w:r>
      <w:proofErr w:type="spellStart"/>
      <w:r w:rsidR="008D3F96">
        <w:t>Giachanou</w:t>
      </w:r>
      <w:proofErr w:type="spellEnd"/>
      <w:r w:rsidR="008D3F96">
        <w:t xml:space="preserve"> &amp; </w:t>
      </w:r>
      <w:proofErr w:type="spellStart"/>
      <w:r w:rsidR="008D3F96">
        <w:t>Crestani</w:t>
      </w:r>
      <w:proofErr w:type="spellEnd"/>
      <w:r w:rsidR="008D3F96">
        <w:t xml:space="preserve"> (2018) </w:t>
      </w:r>
      <w:r w:rsidR="00B30B7C">
        <w:t>are able to succinctly outline all the challenges that come with developing SA methods specific to Twitter</w:t>
      </w:r>
      <w:r w:rsidR="008D3F96">
        <w:t>. They also</w:t>
      </w:r>
      <w:r w:rsidR="00B30B7C">
        <w:t xml:space="preserve"> introduce and list important types of feature selection and review the most frequently used evaluation metrics for TSA</w:t>
      </w:r>
      <w:r w:rsidR="000F3599">
        <w:t xml:space="preserve"> which will be addressed in this paper</w:t>
      </w:r>
      <w:r w:rsidR="008D3F96">
        <w:t xml:space="preserve"> (</w:t>
      </w:r>
      <w:proofErr w:type="spellStart"/>
      <w:r w:rsidR="008D3F96">
        <w:t>Giachanou</w:t>
      </w:r>
      <w:proofErr w:type="spellEnd"/>
      <w:r w:rsidR="008D3F96">
        <w:t xml:space="preserve"> &amp; </w:t>
      </w:r>
      <w:proofErr w:type="spellStart"/>
      <w:r w:rsidR="008D3F96">
        <w:t>Crestani</w:t>
      </w:r>
      <w:proofErr w:type="spellEnd"/>
      <w:r w:rsidR="008D3F96">
        <w:t>, 2018)</w:t>
      </w:r>
      <w:r w:rsidR="000F5793">
        <w:t xml:space="preserve">. </w:t>
      </w:r>
    </w:p>
    <w:p w14:paraId="329858E1" w14:textId="7A80C038" w:rsidR="0010388E" w:rsidRDefault="006F126E" w:rsidP="002C2E24">
      <w:pPr>
        <w:rPr>
          <w:rFonts w:ascii="NimbusRomNo9L-Regu" w:hAnsi="NimbusRomNo9L-Regu" w:cs="NimbusRomNo9L-Regu"/>
          <w:lang w:val="en-CA"/>
        </w:rPr>
      </w:pPr>
      <w:r>
        <w:rPr>
          <w:rFonts w:ascii="NimbusRomNo9L-Regu" w:hAnsi="NimbusRomNo9L-Regu" w:cs="NimbusRomNo9L-Regu"/>
          <w:lang w:val="en-CA"/>
        </w:rPr>
        <w:t xml:space="preserve">Ankit’s (2018) paper, </w:t>
      </w:r>
      <w:r w:rsidRPr="006F126E">
        <w:rPr>
          <w:rFonts w:ascii="NimbusRomNo9L-Regu" w:hAnsi="NimbusRomNo9L-Regu" w:cs="NimbusRomNo9L-Regu"/>
          <w:i/>
          <w:iCs/>
          <w:lang w:val="en-CA"/>
        </w:rPr>
        <w:t>An Ensemble Classification System for Twitter Sentiment Analysis</w:t>
      </w:r>
      <w:r>
        <w:rPr>
          <w:rFonts w:ascii="NimbusRomNo9L-Regu" w:hAnsi="NimbusRomNo9L-Regu" w:cs="NimbusRomNo9L-Regu"/>
          <w:i/>
          <w:iCs/>
          <w:lang w:val="en-CA"/>
        </w:rPr>
        <w:t xml:space="preserve">, </w:t>
      </w:r>
      <w:r w:rsidR="00C67C2D">
        <w:rPr>
          <w:rFonts w:ascii="NimbusRomNo9L-Regu" w:hAnsi="NimbusRomNo9L-Regu" w:cs="NimbusRomNo9L-Regu"/>
          <w:lang w:val="en-CA"/>
        </w:rPr>
        <w:t xml:space="preserve">proposes a methodology that opposes the use of one best classifier for SA and instead </w:t>
      </w:r>
      <w:r w:rsidR="00A728B4">
        <w:rPr>
          <w:rFonts w:ascii="NimbusRomNo9L-Regu" w:hAnsi="NimbusRomNo9L-Regu" w:cs="NimbusRomNo9L-Regu"/>
          <w:lang w:val="en-CA"/>
        </w:rPr>
        <w:t>offers</w:t>
      </w:r>
      <w:r w:rsidR="00C67C2D">
        <w:rPr>
          <w:rFonts w:ascii="NimbusRomNo9L-Regu" w:hAnsi="NimbusRomNo9L-Regu" w:cs="NimbusRomNo9L-Regu"/>
          <w:lang w:val="en-CA"/>
        </w:rPr>
        <w:t xml:space="preserve"> </w:t>
      </w:r>
      <w:r w:rsidR="00A728B4">
        <w:rPr>
          <w:rFonts w:ascii="NimbusRomNo9L-Regu" w:hAnsi="NimbusRomNo9L-Regu" w:cs="NimbusRomNo9L-Regu"/>
          <w:lang w:val="en-CA"/>
        </w:rPr>
        <w:t xml:space="preserve">a methodology for </w:t>
      </w:r>
      <w:r w:rsidR="00C67C2D">
        <w:rPr>
          <w:rFonts w:ascii="NimbusRomNo9L-Regu" w:hAnsi="NimbusRomNo9L-Regu" w:cs="NimbusRomNo9L-Regu"/>
          <w:lang w:val="en-CA"/>
        </w:rPr>
        <w:t>the use of an ensemble classif</w:t>
      </w:r>
      <w:r w:rsidR="00321627">
        <w:rPr>
          <w:rFonts w:ascii="NimbusRomNo9L-Regu" w:hAnsi="NimbusRomNo9L-Regu" w:cs="NimbusRomNo9L-Regu"/>
          <w:lang w:val="en-CA"/>
        </w:rPr>
        <w:t>ication system</w:t>
      </w:r>
      <w:r w:rsidR="00C67C2D">
        <w:rPr>
          <w:rFonts w:ascii="NimbusRomNo9L-Regu" w:hAnsi="NimbusRomNo9L-Regu" w:cs="NimbusRomNo9L-Regu"/>
          <w:lang w:val="en-CA"/>
        </w:rPr>
        <w:t xml:space="preserve">. </w:t>
      </w:r>
      <w:r w:rsidR="006C3175">
        <w:rPr>
          <w:rFonts w:ascii="NimbusRomNo9L-Regu" w:hAnsi="NimbusRomNo9L-Regu" w:cs="NimbusRomNo9L-Regu"/>
          <w:lang w:val="en-CA"/>
        </w:rPr>
        <w:t xml:space="preserve">The </w:t>
      </w:r>
      <w:r w:rsidR="00321627">
        <w:rPr>
          <w:rFonts w:ascii="NimbusRomNo9L-Regu" w:hAnsi="NimbusRomNo9L-Regu" w:cs="NimbusRomNo9L-Regu"/>
          <w:lang w:val="en-CA"/>
        </w:rPr>
        <w:t>system</w:t>
      </w:r>
      <w:r w:rsidR="006C3175">
        <w:rPr>
          <w:rFonts w:ascii="NimbusRomNo9L-Regu" w:hAnsi="NimbusRomNo9L-Regu" w:cs="NimbusRomNo9L-Regu"/>
          <w:lang w:val="en-CA"/>
        </w:rPr>
        <w:t xml:space="preserve"> proposed uses base classifiers, </w:t>
      </w:r>
      <w:r w:rsidR="009F5252">
        <w:rPr>
          <w:rFonts w:ascii="NimbusRomNo9L-Regu" w:hAnsi="NimbusRomNo9L-Regu" w:cs="NimbusRomNo9L-Regu"/>
          <w:lang w:val="en-CA"/>
        </w:rPr>
        <w:t xml:space="preserve">Naïve </w:t>
      </w:r>
      <w:r w:rsidR="006C3175" w:rsidRPr="006C3175">
        <w:rPr>
          <w:rFonts w:ascii="NimbusRomNo9L-Regu" w:hAnsi="NimbusRomNo9L-Regu" w:cs="NimbusRomNo9L-Regu"/>
          <w:lang w:val="en-CA"/>
        </w:rPr>
        <w:t>Bayes</w:t>
      </w:r>
      <w:r w:rsidR="006C3175">
        <w:rPr>
          <w:rFonts w:ascii="NimbusRomNo9L-Regu" w:hAnsi="NimbusRomNo9L-Regu" w:cs="NimbusRomNo9L-Regu"/>
          <w:lang w:val="en-CA"/>
        </w:rPr>
        <w:t>, Random Forest</w:t>
      </w:r>
      <w:r w:rsidR="00780C50">
        <w:rPr>
          <w:rFonts w:ascii="NimbusRomNo9L-Regu" w:hAnsi="NimbusRomNo9L-Regu" w:cs="NimbusRomNo9L-Regu"/>
          <w:lang w:val="en-CA"/>
        </w:rPr>
        <w:t>,</w:t>
      </w:r>
      <w:r w:rsidR="006C3175">
        <w:rPr>
          <w:rFonts w:ascii="NimbusRomNo9L-Regu" w:hAnsi="NimbusRomNo9L-Regu" w:cs="NimbusRomNo9L-Regu"/>
          <w:lang w:val="en-CA"/>
        </w:rPr>
        <w:t xml:space="preserve"> Support Vector Machine and Logistic regression to get comparative accuracy, precision, recall and F1 scores </w:t>
      </w:r>
      <w:r w:rsidR="00321627">
        <w:rPr>
          <w:rFonts w:ascii="NimbusRomNo9L-Regu" w:hAnsi="NimbusRomNo9L-Regu" w:cs="NimbusRomNo9L-Regu"/>
          <w:lang w:val="en-CA"/>
        </w:rPr>
        <w:t xml:space="preserve">(Ankit, 2018). Ankit (2018) then provides the ensemble algorithms which take the predictions of the base classifiers to </w:t>
      </w:r>
      <w:r w:rsidR="00321627" w:rsidRPr="00321627">
        <w:rPr>
          <w:rFonts w:ascii="NimbusRomNo9L-Regu" w:hAnsi="NimbusRomNo9L-Regu" w:cs="NimbusRomNo9L-Regu"/>
          <w:lang w:val="en-CA"/>
        </w:rPr>
        <w:t>enhance the performance and accuracy of base learning techniques</w:t>
      </w:r>
      <w:r w:rsidR="00321627">
        <w:rPr>
          <w:rFonts w:ascii="NimbusRomNo9L-Regu" w:hAnsi="NimbusRomNo9L-Regu" w:cs="NimbusRomNo9L-Regu"/>
          <w:lang w:val="en-CA"/>
        </w:rPr>
        <w:t>. Ankit’s (2018) results show that against the base classifiers the ensemble classifier proposed performed better than the stand-alone classifiers. The ensemble classification system Ankit (2018) outlines will be applied in this paper.</w:t>
      </w:r>
      <w:r w:rsidR="006C3175">
        <w:rPr>
          <w:rFonts w:ascii="NimbusRomNo9L-Regu" w:hAnsi="NimbusRomNo9L-Regu" w:cs="NimbusRomNo9L-Regu"/>
          <w:lang w:val="en-CA"/>
        </w:rPr>
        <w:t xml:space="preserve">  </w:t>
      </w:r>
    </w:p>
    <w:p w14:paraId="385B1B8E" w14:textId="633DD746" w:rsidR="00602722" w:rsidRDefault="00602722" w:rsidP="002C2E24">
      <w:pPr>
        <w:rPr>
          <w:rFonts w:ascii="NimbusRomNo9L-Regu" w:hAnsi="NimbusRomNo9L-Regu" w:cs="NimbusRomNo9L-Regu"/>
          <w:lang w:val="en-CA"/>
        </w:rPr>
      </w:pPr>
      <w:r>
        <w:rPr>
          <w:rFonts w:ascii="NimbusRomNo9L-Regu" w:hAnsi="NimbusRomNo9L-Regu" w:cs="NimbusRomNo9L-Regu"/>
          <w:lang w:val="en-CA"/>
        </w:rPr>
        <w:t xml:space="preserve">Ankit’s (2018) paper used Bag-of-words </w:t>
      </w:r>
      <w:r w:rsidR="007B7E03">
        <w:rPr>
          <w:rFonts w:ascii="NimbusRomNo9L-Regu" w:hAnsi="NimbusRomNo9L-Regu" w:cs="NimbusRomNo9L-Regu"/>
          <w:lang w:val="en-CA"/>
        </w:rPr>
        <w:t xml:space="preserve">technique to convert tweets into numeric representation. </w:t>
      </w:r>
      <w:r w:rsidR="00AC6441">
        <w:rPr>
          <w:rFonts w:ascii="NimbusRomNo9L-Regu" w:hAnsi="NimbusRomNo9L-Regu" w:cs="NimbusRomNo9L-Regu"/>
          <w:lang w:val="en-CA"/>
        </w:rPr>
        <w:t xml:space="preserve">In </w:t>
      </w:r>
      <w:r w:rsidR="00AC6441" w:rsidRPr="00BA5610">
        <w:rPr>
          <w:shd w:val="clear" w:color="auto" w:fill="FFFFFF"/>
        </w:rPr>
        <w:t>Bouazizi</w:t>
      </w:r>
      <w:r w:rsidR="00AC6441">
        <w:rPr>
          <w:shd w:val="clear" w:color="auto" w:fill="FFFFFF"/>
        </w:rPr>
        <w:t xml:space="preserve"> </w:t>
      </w:r>
      <w:proofErr w:type="spellStart"/>
      <w:r w:rsidR="00AC6441">
        <w:rPr>
          <w:shd w:val="clear" w:color="auto" w:fill="FFFFFF"/>
        </w:rPr>
        <w:t>et.al.’s</w:t>
      </w:r>
      <w:proofErr w:type="spellEnd"/>
      <w:r w:rsidR="00AC6441">
        <w:rPr>
          <w:shd w:val="clear" w:color="auto" w:fill="FFFFFF"/>
        </w:rPr>
        <w:t xml:space="preserve"> (</w:t>
      </w:r>
      <w:r w:rsidR="00AC6441" w:rsidRPr="00BA5610">
        <w:rPr>
          <w:shd w:val="clear" w:color="auto" w:fill="FFFFFF"/>
        </w:rPr>
        <w:t>2016</w:t>
      </w:r>
      <w:r w:rsidR="00AC6441">
        <w:rPr>
          <w:shd w:val="clear" w:color="auto" w:fill="FFFFFF"/>
        </w:rPr>
        <w:t xml:space="preserve">) paper, the authors use </w:t>
      </w:r>
      <w:r w:rsidR="00AC6441">
        <w:t xml:space="preserve">Term Frequency-Inverse Document Frequency (TF-IDF) since they have a large text to mine and many features would be produced to select the top features to use in by weighting and scoring the frequency of words in the text. This technique will be used in this report as we are dealing with a large volume of tweets and features. </w:t>
      </w:r>
    </w:p>
    <w:p w14:paraId="232419CD" w14:textId="1EC54FA6" w:rsidR="004511CD" w:rsidRDefault="00CD44E0" w:rsidP="002C2E24">
      <w:pPr>
        <w:rPr>
          <w:rFonts w:ascii="NimbusRomNo9L-Regu" w:hAnsi="NimbusRomNo9L-Regu" w:cs="NimbusRomNo9L-Regu"/>
          <w:i/>
          <w:iCs/>
          <w:lang w:val="en-CA"/>
        </w:rPr>
      </w:pPr>
      <w:r>
        <w:rPr>
          <w:rFonts w:ascii="NimbusRomNo9L-Regu" w:hAnsi="NimbusRomNo9L-Regu" w:cs="NimbusRomNo9L-Regu"/>
          <w:lang w:val="en-CA"/>
        </w:rPr>
        <w:t xml:space="preserve">As popular a </w:t>
      </w:r>
      <w:r w:rsidR="006D2619">
        <w:rPr>
          <w:rFonts w:ascii="NimbusRomNo9L-Regu" w:hAnsi="NimbusRomNo9L-Regu" w:cs="NimbusRomNo9L-Regu"/>
          <w:lang w:val="en-CA"/>
        </w:rPr>
        <w:t xml:space="preserve">research </w:t>
      </w:r>
      <w:r>
        <w:rPr>
          <w:rFonts w:ascii="NimbusRomNo9L-Regu" w:hAnsi="NimbusRomNo9L-Regu" w:cs="NimbusRomNo9L-Regu"/>
          <w:lang w:val="en-CA"/>
        </w:rPr>
        <w:t>topic TSA is</w:t>
      </w:r>
      <w:r w:rsidR="00DA6822">
        <w:rPr>
          <w:rFonts w:ascii="NimbusRomNo9L-Regu" w:hAnsi="NimbusRomNo9L-Regu" w:cs="NimbusRomNo9L-Regu"/>
          <w:lang w:val="en-CA"/>
        </w:rPr>
        <w:t xml:space="preserve"> in data science</w:t>
      </w:r>
      <w:r>
        <w:rPr>
          <w:rFonts w:ascii="NimbusRomNo9L-Regu" w:hAnsi="NimbusRomNo9L-Regu" w:cs="NimbusRomNo9L-Regu"/>
          <w:lang w:val="en-CA"/>
        </w:rPr>
        <w:t>, few studies</w:t>
      </w:r>
      <w:r w:rsidR="006D2619">
        <w:rPr>
          <w:rFonts w:ascii="NimbusRomNo9L-Regu" w:hAnsi="NimbusRomNo9L-Regu" w:cs="NimbusRomNo9L-Regu"/>
          <w:lang w:val="en-CA"/>
        </w:rPr>
        <w:t xml:space="preserve"> were found</w:t>
      </w:r>
      <w:r>
        <w:rPr>
          <w:rFonts w:ascii="NimbusRomNo9L-Regu" w:hAnsi="NimbusRomNo9L-Regu" w:cs="NimbusRomNo9L-Regu"/>
          <w:lang w:val="en-CA"/>
        </w:rPr>
        <w:t xml:space="preserve"> </w:t>
      </w:r>
      <w:r w:rsidR="006D2619">
        <w:rPr>
          <w:rFonts w:ascii="NimbusRomNo9L-Regu" w:hAnsi="NimbusRomNo9L-Regu" w:cs="NimbusRomNo9L-Regu"/>
          <w:lang w:val="en-CA"/>
        </w:rPr>
        <w:t>that utilize it to obtain insights into the health, development and</w:t>
      </w:r>
      <w:r w:rsidR="00DA6822">
        <w:rPr>
          <w:rFonts w:ascii="NimbusRomNo9L-Regu" w:hAnsi="NimbusRomNo9L-Regu" w:cs="NimbusRomNo9L-Regu"/>
          <w:lang w:val="en-CA"/>
        </w:rPr>
        <w:t xml:space="preserve"> vitality</w:t>
      </w:r>
      <w:r w:rsidR="006D2619">
        <w:rPr>
          <w:rFonts w:ascii="NimbusRomNo9L-Regu" w:hAnsi="NimbusRomNo9L-Regu" w:cs="NimbusRomNo9L-Regu"/>
          <w:lang w:val="en-CA"/>
        </w:rPr>
        <w:t xml:space="preserve"> of city neighbourhoods and its residents</w:t>
      </w:r>
      <w:r w:rsidR="00DA6822">
        <w:rPr>
          <w:rFonts w:ascii="NimbusRomNo9L-Regu" w:hAnsi="NimbusRomNo9L-Regu" w:cs="NimbusRomNo9L-Regu"/>
          <w:lang w:val="en-CA"/>
        </w:rPr>
        <w:t xml:space="preserve"> in the social sciences</w:t>
      </w:r>
      <w:r w:rsidR="006D2619">
        <w:rPr>
          <w:rFonts w:ascii="NimbusRomNo9L-Regu" w:hAnsi="NimbusRomNo9L-Regu" w:cs="NimbusRomNo9L-Regu"/>
          <w:lang w:val="en-CA"/>
        </w:rPr>
        <w:t xml:space="preserve">. </w:t>
      </w:r>
      <w:r w:rsidR="00DA6822">
        <w:rPr>
          <w:rFonts w:ascii="NimbusRomNo9L-Regu" w:hAnsi="NimbusRomNo9L-Regu" w:cs="NimbusRomNo9L-Regu"/>
          <w:lang w:val="en-CA"/>
        </w:rPr>
        <w:t>Studies like</w:t>
      </w:r>
      <w:r w:rsidR="005A5160">
        <w:rPr>
          <w:rFonts w:ascii="NimbusRomNo9L-Regu" w:hAnsi="NimbusRomNo9L-Regu" w:cs="NimbusRomNo9L-Regu"/>
          <w:lang w:val="en-CA"/>
        </w:rPr>
        <w:t xml:space="preserve"> </w:t>
      </w:r>
      <w:proofErr w:type="spellStart"/>
      <w:r w:rsidR="005A5160">
        <w:rPr>
          <w:rFonts w:ascii="NimbusRomNo9L-Regu" w:hAnsi="NimbusRomNo9L-Regu" w:cs="NimbusRomNo9L-Regu"/>
          <w:lang w:val="en-CA"/>
        </w:rPr>
        <w:t>Saeidi</w:t>
      </w:r>
      <w:proofErr w:type="spellEnd"/>
      <w:r w:rsidR="005A5160">
        <w:rPr>
          <w:rFonts w:ascii="NimbusRomNo9L-Regu" w:hAnsi="NimbusRomNo9L-Regu" w:cs="NimbusRomNo9L-Regu"/>
          <w:lang w:val="en-CA"/>
        </w:rPr>
        <w:t xml:space="preserve"> et.</w:t>
      </w:r>
      <w:r w:rsidR="00AC6441">
        <w:rPr>
          <w:rFonts w:ascii="NimbusRomNo9L-Regu" w:hAnsi="NimbusRomNo9L-Regu" w:cs="NimbusRomNo9L-Regu"/>
          <w:lang w:val="en-CA"/>
        </w:rPr>
        <w:t xml:space="preserve"> </w:t>
      </w:r>
      <w:r w:rsidR="005A5160">
        <w:rPr>
          <w:rFonts w:ascii="NimbusRomNo9L-Regu" w:hAnsi="NimbusRomNo9L-Regu" w:cs="NimbusRomNo9L-Regu"/>
          <w:lang w:val="en-CA"/>
        </w:rPr>
        <w:t>al.’s (2016) and</w:t>
      </w:r>
      <w:r w:rsidR="00DA6822">
        <w:rPr>
          <w:rFonts w:ascii="NimbusRomNo9L-Regu" w:hAnsi="NimbusRomNo9L-Regu" w:cs="NimbusRomNo9L-Regu"/>
          <w:lang w:val="en-CA"/>
        </w:rPr>
        <w:t xml:space="preserve"> Hu et. al.</w:t>
      </w:r>
      <w:r w:rsidR="005A5160">
        <w:rPr>
          <w:rFonts w:ascii="NimbusRomNo9L-Regu" w:hAnsi="NimbusRomNo9L-Regu" w:cs="NimbusRomNo9L-Regu"/>
          <w:lang w:val="en-CA"/>
        </w:rPr>
        <w:t>’s</w:t>
      </w:r>
      <w:r w:rsidR="00DA6822">
        <w:rPr>
          <w:rFonts w:ascii="NimbusRomNo9L-Regu" w:hAnsi="NimbusRomNo9L-Regu" w:cs="NimbusRomNo9L-Regu"/>
          <w:lang w:val="en-CA"/>
        </w:rPr>
        <w:t xml:space="preserve"> (</w:t>
      </w:r>
      <w:r w:rsidR="005A5160">
        <w:rPr>
          <w:rFonts w:ascii="NimbusRomNo9L-Regu" w:hAnsi="NimbusRomNo9L-Regu" w:cs="NimbusRomNo9L-Regu"/>
          <w:lang w:val="en-CA"/>
        </w:rPr>
        <w:t xml:space="preserve">2019) utilize </w:t>
      </w:r>
      <w:r w:rsidR="005A5160" w:rsidRPr="005A5160">
        <w:rPr>
          <w:rFonts w:ascii="NimbusRomNo9L-Regu" w:hAnsi="NimbusRomNo9L-Regu" w:cs="NimbusRomNo9L-Regu"/>
          <w:lang w:val="en-CA"/>
        </w:rPr>
        <w:t>neighborhood reviews</w:t>
      </w:r>
      <w:r w:rsidR="005A5160">
        <w:rPr>
          <w:rFonts w:ascii="NimbusRomNo9L-Regu" w:hAnsi="NimbusRomNo9L-Regu" w:cs="NimbusRomNo9L-Regu"/>
          <w:lang w:val="en-CA"/>
        </w:rPr>
        <w:t xml:space="preserve"> from review specific platforms and apply </w:t>
      </w:r>
      <w:r w:rsidR="00362BEA">
        <w:rPr>
          <w:rFonts w:ascii="NimbusRomNo9L-Regu" w:hAnsi="NimbusRomNo9L-Regu" w:cs="NimbusRomNo9L-Regu"/>
          <w:lang w:val="en-CA"/>
        </w:rPr>
        <w:t>SA</w:t>
      </w:r>
      <w:r w:rsidR="005A5160">
        <w:rPr>
          <w:rFonts w:ascii="NimbusRomNo9L-Regu" w:hAnsi="NimbusRomNo9L-Regu" w:cs="NimbusRomNo9L-Regu"/>
          <w:lang w:val="en-CA"/>
        </w:rPr>
        <w:t xml:space="preserve"> to their datasets. </w:t>
      </w:r>
      <w:r w:rsidR="00362BEA">
        <w:rPr>
          <w:rFonts w:ascii="NimbusRomNo9L-Regu" w:hAnsi="NimbusRomNo9L-Regu" w:cs="NimbusRomNo9L-Regu"/>
          <w:lang w:val="en-CA"/>
        </w:rPr>
        <w:t xml:space="preserve">Gibbons et. al. (2019) and Nguyen et. al. (2017) are the few papers that look at TSA at the neighbourhood level to predict and examine resident’s health. </w:t>
      </w:r>
      <w:r w:rsidR="00A85967">
        <w:rPr>
          <w:rFonts w:ascii="NimbusRomNo9L-Regu" w:hAnsi="NimbusRomNo9L-Regu" w:cs="NimbusRomNo9L-Regu"/>
          <w:lang w:val="en-CA"/>
        </w:rPr>
        <w:t xml:space="preserve">This paper intends to bring light to the value TSA can bring when applied in social science contexts. </w:t>
      </w:r>
      <w:r w:rsidR="006C3175">
        <w:rPr>
          <w:rFonts w:ascii="NimbusRomNo9L-Regu" w:hAnsi="NimbusRomNo9L-Regu" w:cs="NimbusRomNo9L-Regu"/>
          <w:lang w:val="en-CA"/>
        </w:rPr>
        <w:t xml:space="preserve"> </w:t>
      </w:r>
      <w:r w:rsidR="00C67C2D">
        <w:rPr>
          <w:rFonts w:ascii="NimbusRomNo9L-Regu" w:hAnsi="NimbusRomNo9L-Regu" w:cs="NimbusRomNo9L-Regu"/>
          <w:lang w:val="en-CA"/>
        </w:rPr>
        <w:t xml:space="preserve">   </w:t>
      </w:r>
      <w:r w:rsidR="006F126E" w:rsidRPr="006F126E">
        <w:rPr>
          <w:rFonts w:ascii="NimbusRomNo9L-Regu" w:hAnsi="NimbusRomNo9L-Regu" w:cs="NimbusRomNo9L-Regu"/>
          <w:i/>
          <w:iCs/>
          <w:lang w:val="en-CA"/>
        </w:rPr>
        <w:t xml:space="preserve"> </w:t>
      </w:r>
    </w:p>
    <w:p w14:paraId="128D52C6" w14:textId="77777777" w:rsidR="00D54877" w:rsidRPr="00C67C2D" w:rsidRDefault="00D54877" w:rsidP="002C2E24">
      <w:pPr>
        <w:rPr>
          <w:rFonts w:ascii="NimbusRomNo9L-Regu" w:hAnsi="NimbusRomNo9L-Regu" w:cs="NimbusRomNo9L-Regu"/>
          <w:lang w:val="en-CA"/>
        </w:rPr>
      </w:pPr>
    </w:p>
    <w:p w14:paraId="2647F48D" w14:textId="69883BDD" w:rsidR="00FD14A9" w:rsidRDefault="00DB5D3A" w:rsidP="00A70781">
      <w:pPr>
        <w:pStyle w:val="Heading1"/>
      </w:pPr>
      <w:r>
        <w:lastRenderedPageBreak/>
        <w:t>Dataset</w:t>
      </w:r>
    </w:p>
    <w:p w14:paraId="128CCAEC" w14:textId="545E23AF" w:rsidR="00DB5D3A" w:rsidRDefault="00867FE5" w:rsidP="00DB5D3A">
      <w:r>
        <w:t xml:space="preserve">Twitter tweets are used as a data source in this </w:t>
      </w:r>
      <w:r w:rsidR="00A465BC">
        <w:t xml:space="preserve">paper. The data was pulled from </w:t>
      </w:r>
      <w:r w:rsidR="00DE467A">
        <w:t xml:space="preserve">Twitter using </w:t>
      </w:r>
      <w:proofErr w:type="spellStart"/>
      <w:r w:rsidR="00DE467A">
        <w:t>Twee</w:t>
      </w:r>
      <w:r w:rsidR="00EC4BA1">
        <w:t>py</w:t>
      </w:r>
      <w:proofErr w:type="spellEnd"/>
      <w:r w:rsidR="007839D6">
        <w:rPr>
          <w:rStyle w:val="FootnoteReference"/>
        </w:rPr>
        <w:footnoteReference w:id="5"/>
      </w:r>
      <w:r w:rsidR="00EC4BA1">
        <w:t xml:space="preserve">, </w:t>
      </w:r>
      <w:r w:rsidR="007839D6" w:rsidRPr="007839D6">
        <w:t>Python library for accessing the Twitter API</w:t>
      </w:r>
      <w:r w:rsidR="007839D6">
        <w:rPr>
          <w:rStyle w:val="FootnoteReference"/>
        </w:rPr>
        <w:footnoteReference w:id="6"/>
      </w:r>
      <w:r w:rsidR="00EC4BA1">
        <w:t xml:space="preserve">. Twitter provides a large set of filtering parameters to obtain data. </w:t>
      </w:r>
      <w:r w:rsidR="00464837">
        <w:t>T</w:t>
      </w:r>
      <w:r w:rsidR="00EC4BA1">
        <w:t xml:space="preserve">his paper </w:t>
      </w:r>
      <w:r w:rsidR="00464837">
        <w:t>initially was</w:t>
      </w:r>
      <w:r w:rsidR="007839D6">
        <w:t xml:space="preserve"> focusing on five neighbourhoods in Toronto: </w:t>
      </w:r>
      <w:r w:rsidR="00AA4797">
        <w:t xml:space="preserve">(1) </w:t>
      </w:r>
      <w:r w:rsidR="007839D6">
        <w:t>The Annex</w:t>
      </w:r>
      <w:r w:rsidR="00AA4797">
        <w:t xml:space="preserve"> (2)</w:t>
      </w:r>
      <w:r w:rsidR="007839D6">
        <w:t xml:space="preserve"> Trinity-</w:t>
      </w:r>
      <w:proofErr w:type="spellStart"/>
      <w:r w:rsidR="007839D6">
        <w:t>Bellwoods</w:t>
      </w:r>
      <w:proofErr w:type="spellEnd"/>
      <w:r w:rsidR="00AA4797">
        <w:t xml:space="preserve"> (3)</w:t>
      </w:r>
      <w:r w:rsidR="007839D6">
        <w:t xml:space="preserve"> Yorkville</w:t>
      </w:r>
      <w:r w:rsidR="00AA4797">
        <w:t xml:space="preserve"> (4)</w:t>
      </w:r>
      <w:r w:rsidR="007839D6">
        <w:t xml:space="preserve"> Regent Park </w:t>
      </w:r>
      <w:r w:rsidR="00AA4797">
        <w:t>(5)</w:t>
      </w:r>
      <w:r w:rsidR="007839D6">
        <w:t xml:space="preserve"> Parkdale. </w:t>
      </w:r>
      <w:r w:rsidR="00464837">
        <w:t xml:space="preserve">Ideally </w:t>
      </w:r>
      <w:r w:rsidR="007839D6">
        <w:t xml:space="preserve">the neighbourhood names and their variations </w:t>
      </w:r>
      <w:r w:rsidR="00464837">
        <w:t xml:space="preserve">were to be used as </w:t>
      </w:r>
      <w:r w:rsidR="007839D6">
        <w:t>keywords</w:t>
      </w:r>
      <w:r w:rsidR="00AA4797">
        <w:t xml:space="preserve"> </w:t>
      </w:r>
      <w:r w:rsidR="007839D6">
        <w:t xml:space="preserve">to extract those tweets that </w:t>
      </w:r>
      <w:r w:rsidR="00AA4797">
        <w:t>contained them</w:t>
      </w:r>
      <w:r w:rsidR="00464837">
        <w:t xml:space="preserve"> as well as </w:t>
      </w:r>
      <w:r w:rsidR="00D87F34">
        <w:t>well as the geolocation for Toronto.</w:t>
      </w:r>
    </w:p>
    <w:p w14:paraId="46969A35" w14:textId="13B24055" w:rsidR="00464837" w:rsidRDefault="00464837" w:rsidP="00464837">
      <w:r>
        <w:t>However, in attempting to do an initial pull from Twitter, the limitation of only having academic access to pull 30 days’ worth of tweets, resulted in few tweets related to Toronto neighbourhoods. On top of that constraint, the context of a global pandemic in the form of the COVID-19 virus</w:t>
      </w:r>
      <w:r>
        <w:rPr>
          <w:rStyle w:val="FootnoteReference"/>
        </w:rPr>
        <w:footnoteReference w:id="7"/>
      </w:r>
      <w:r>
        <w:t xml:space="preserve"> had turned the majority of tweets to that subject. Not being able to access the full archive of public Twitter data through Twitter’s </w:t>
      </w:r>
      <w:r w:rsidR="00F216D8" w:rsidRPr="00F216D8">
        <w:t>Search Tweets API: Full-archive</w:t>
      </w:r>
      <w:r>
        <w:t xml:space="preserve"> </w:t>
      </w:r>
      <w:r w:rsidR="00D87F34">
        <w:t>did not allow for searching of tweets</w:t>
      </w:r>
      <w:r>
        <w:t xml:space="preserve"> </w:t>
      </w:r>
      <w:r w:rsidR="00D87F34">
        <w:t xml:space="preserve">over </w:t>
      </w:r>
      <w:r>
        <w:t>multiple years and</w:t>
      </w:r>
      <w:r w:rsidR="00D87F34">
        <w:t xml:space="preserve"> to</w:t>
      </w:r>
      <w:r>
        <w:t xml:space="preserve"> restrict searches to before the COVID</w:t>
      </w:r>
      <w:r w:rsidR="00D87F34">
        <w:t>-19</w:t>
      </w:r>
      <w:r>
        <w:t xml:space="preserve"> </w:t>
      </w:r>
      <w:r w:rsidR="00D87F34">
        <w:t>pandemic</w:t>
      </w:r>
      <w:r>
        <w:t xml:space="preserve">. </w:t>
      </w:r>
    </w:p>
    <w:p w14:paraId="1AA6B29B" w14:textId="10DE9D00" w:rsidR="00464837" w:rsidRDefault="00464837" w:rsidP="00464837">
      <w:pPr>
        <w:rPr>
          <w:rFonts w:ascii="NimbusRomNo9L-Regu" w:hAnsi="NimbusRomNo9L-Regu" w:cs="NimbusRomNo9L-Regu"/>
          <w:lang w:val="en-CA"/>
        </w:rPr>
      </w:pPr>
      <w:r>
        <w:t xml:space="preserve">Despite these drawbacks, I would still like to </w:t>
      </w:r>
      <w:r>
        <w:rPr>
          <w:rFonts w:ascii="NimbusRomNo9L-Regu" w:hAnsi="NimbusRomNo9L-Regu" w:cs="NimbusRomNo9L-Regu"/>
          <w:lang w:val="en-CA"/>
        </w:rPr>
        <w:t>demonstrate the potential value TSA can bring when applied in social science contexts such as urban planning. I will use the current context of the COVID-19 epidemic as an example</w:t>
      </w:r>
      <w:r w:rsidR="00D87F34">
        <w:rPr>
          <w:rFonts w:ascii="NimbusRomNo9L-Regu" w:hAnsi="NimbusRomNo9L-Regu" w:cs="NimbusRomNo9L-Regu"/>
          <w:lang w:val="en-CA"/>
        </w:rPr>
        <w:t xml:space="preserve"> where the </w:t>
      </w:r>
      <w:r>
        <w:rPr>
          <w:rFonts w:ascii="NimbusRomNo9L-Regu" w:hAnsi="NimbusRomNo9L-Regu" w:cs="NimbusRomNo9L-Regu"/>
          <w:lang w:val="en-CA"/>
        </w:rPr>
        <w:t>same methodology can be applied to Toronto neighbourhood data when pulled from Twitter.</w:t>
      </w:r>
    </w:p>
    <w:p w14:paraId="06199093" w14:textId="66356680" w:rsidR="00464837" w:rsidRDefault="00464837" w:rsidP="00DB5D3A">
      <w:pPr>
        <w:rPr>
          <w:rFonts w:ascii="NimbusRomNo9L-Regu" w:hAnsi="NimbusRomNo9L-Regu" w:cs="NimbusRomNo9L-Regu"/>
          <w:lang w:val="en-CA"/>
        </w:rPr>
      </w:pPr>
      <w:r>
        <w:rPr>
          <w:rFonts w:ascii="NimbusRomNo9L-Regu" w:hAnsi="NimbusRomNo9L-Regu" w:cs="NimbusRomNo9L-Regu"/>
          <w:lang w:val="en-CA"/>
        </w:rPr>
        <w:t xml:space="preserve">For this example, I have pulled tweets about the Coronavirus and Toronto, Montreal and Vancouver to analyze the polarity of sentiments in the tweets in relation to each of the cities and to compare which cities have either more positive or negative tweets on this topic. </w:t>
      </w:r>
    </w:p>
    <w:p w14:paraId="29AA18BD" w14:textId="2B6743DE" w:rsidR="009F5252" w:rsidRDefault="009F5252" w:rsidP="00DB5D3A">
      <w:pPr>
        <w:rPr>
          <w:rFonts w:ascii="NimbusRomNo9L-Regu" w:hAnsi="NimbusRomNo9L-Regu" w:cs="NimbusRomNo9L-Regu"/>
          <w:lang w:val="en-CA"/>
        </w:rPr>
      </w:pPr>
      <w:r>
        <w:rPr>
          <w:rFonts w:ascii="NimbusRomNo9L-Regu" w:hAnsi="NimbusRomNo9L-Regu" w:cs="NimbusRomNo9L-Regu"/>
          <w:lang w:val="en-CA"/>
        </w:rPr>
        <w:t xml:space="preserve">The following code was used to search Twitter: </w:t>
      </w:r>
    </w:p>
    <w:bookmarkStart w:id="0" w:name="_MON_1647702162"/>
    <w:bookmarkEnd w:id="0"/>
    <w:p w14:paraId="61DDAEF1" w14:textId="4AFACEC4" w:rsidR="0050280E" w:rsidRDefault="00D54877" w:rsidP="00D4105E">
      <w:pPr>
        <w:keepNext/>
        <w:spacing w:after="0"/>
      </w:pPr>
      <w:r>
        <w:rPr>
          <w:rFonts w:ascii="NimbusRomNo9L-Regu" w:hAnsi="NimbusRomNo9L-Regu" w:cs="NimbusRomNo9L-Regu"/>
          <w:lang w:val="en-CA"/>
        </w:rPr>
        <w:object w:dxaOrig="9360" w:dyaOrig="4215" w14:anchorId="11DA9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30.8pt;height:193.2pt" o:ole="">
            <v:imagedata r:id="rId8" o:title=""/>
          </v:shape>
          <o:OLEObject Type="Embed" ProgID="Word.OpenDocumentText.12" ShapeID="_x0000_i1056" DrawAspect="Content" ObjectID="_1647722669" r:id="rId9"/>
        </w:object>
      </w:r>
    </w:p>
    <w:p w14:paraId="33A35F3C" w14:textId="460A5225" w:rsidR="00495668" w:rsidRDefault="0050280E" w:rsidP="0050280E">
      <w:pPr>
        <w:pStyle w:val="Caption"/>
        <w:rPr>
          <w:rFonts w:ascii="NimbusRomNo9L-Regu" w:hAnsi="NimbusRomNo9L-Regu" w:cs="NimbusRomNo9L-Regu"/>
          <w:lang w:val="en-CA"/>
        </w:rPr>
      </w:pPr>
      <w:r>
        <w:t xml:space="preserve">Figure </w:t>
      </w:r>
      <w:r>
        <w:fldChar w:fldCharType="begin"/>
      </w:r>
      <w:r>
        <w:instrText xml:space="preserve"> SEQ Figure \* ARABIC </w:instrText>
      </w:r>
      <w:r>
        <w:fldChar w:fldCharType="separate"/>
      </w:r>
      <w:r w:rsidR="006A4DEF">
        <w:rPr>
          <w:noProof/>
        </w:rPr>
        <w:t>1</w:t>
      </w:r>
      <w:r>
        <w:fldChar w:fldCharType="end"/>
      </w:r>
      <w:r w:rsidR="00D54877">
        <w:t>.</w:t>
      </w:r>
      <w:r>
        <w:t xml:space="preserve"> </w:t>
      </w:r>
      <w:r>
        <w:rPr>
          <w:i w:val="0"/>
          <w:iCs w:val="0"/>
        </w:rPr>
        <w:t>Sample code for extracting tweets about Vancouver and COVID-19</w:t>
      </w:r>
      <w:r w:rsidR="00F327B7">
        <w:rPr>
          <w:i w:val="0"/>
          <w:iCs w:val="0"/>
        </w:rPr>
        <w:t>.</w:t>
      </w:r>
    </w:p>
    <w:p w14:paraId="51EE33A3" w14:textId="77777777" w:rsidR="00D54877" w:rsidRDefault="00495668" w:rsidP="00DB5D3A">
      <w:pPr>
        <w:rPr>
          <w:rFonts w:ascii="NimbusRomNo9L-Regu" w:hAnsi="NimbusRomNo9L-Regu" w:cs="NimbusRomNo9L-Regu"/>
          <w:lang w:val="en-CA"/>
        </w:rPr>
      </w:pPr>
      <w:r>
        <w:rPr>
          <w:rFonts w:ascii="NimbusRomNo9L-Regu" w:hAnsi="NimbusRomNo9L-Regu" w:cs="NimbusRomNo9L-Regu"/>
          <w:lang w:val="en-CA"/>
        </w:rPr>
        <w:lastRenderedPageBreak/>
        <w:t>The same code was run replacing Vancouver with Toronto, then Montreal to get three CSV files for each city.</w:t>
      </w:r>
      <w:r w:rsidR="00430840">
        <w:rPr>
          <w:rFonts w:ascii="NimbusRomNo9L-Regu" w:hAnsi="NimbusRomNo9L-Regu" w:cs="NimbusRomNo9L-Regu"/>
          <w:lang w:val="en-CA"/>
        </w:rPr>
        <w:t xml:space="preserve"> </w:t>
      </w:r>
    </w:p>
    <w:p w14:paraId="2EE73F04" w14:textId="32A72975" w:rsidR="0087570C" w:rsidRPr="0087570C" w:rsidRDefault="0087570C" w:rsidP="00DB5D3A">
      <w:r>
        <w:rPr>
          <w:rFonts w:ascii="NimbusRomNo9L-Regu" w:hAnsi="NimbusRomNo9L-Regu" w:cs="NimbusRomNo9L-Regu"/>
          <w:lang w:val="en-CA"/>
        </w:rPr>
        <w:t>The datasets and</w:t>
      </w:r>
      <w:r w:rsidR="00495668">
        <w:rPr>
          <w:rFonts w:ascii="NimbusRomNo9L-Regu" w:hAnsi="NimbusRomNo9L-Regu" w:cs="NimbusRomNo9L-Regu"/>
          <w:lang w:val="en-CA"/>
        </w:rPr>
        <w:t xml:space="preserve"> full</w:t>
      </w:r>
      <w:r>
        <w:rPr>
          <w:rFonts w:ascii="NimbusRomNo9L-Regu" w:hAnsi="NimbusRomNo9L-Regu" w:cs="NimbusRomNo9L-Regu"/>
          <w:lang w:val="en-CA"/>
        </w:rPr>
        <w:t xml:space="preserve"> code can be found in the following </w:t>
      </w:r>
      <w:proofErr w:type="spellStart"/>
      <w:r>
        <w:rPr>
          <w:rFonts w:ascii="NimbusRomNo9L-Regu" w:hAnsi="NimbusRomNo9L-Regu" w:cs="NimbusRomNo9L-Regu"/>
          <w:lang w:val="en-CA"/>
        </w:rPr>
        <w:t>Github</w:t>
      </w:r>
      <w:proofErr w:type="spellEnd"/>
      <w:r>
        <w:rPr>
          <w:rFonts w:ascii="NimbusRomNo9L-Regu" w:hAnsi="NimbusRomNo9L-Regu" w:cs="NimbusRomNo9L-Regu"/>
          <w:lang w:val="en-CA"/>
        </w:rPr>
        <w:t xml:space="preserve"> repository: </w:t>
      </w:r>
      <w:hyperlink r:id="rId10" w:history="1">
        <w:r>
          <w:rPr>
            <w:rStyle w:val="Hyperlink"/>
            <w:rFonts w:ascii="NimbusRomNo9L-Regu" w:hAnsi="NimbusRomNo9L-Regu" w:cs="NimbusRomNo9L-Regu"/>
            <w:lang w:val="en-CA"/>
          </w:rPr>
          <w:t>https://github.com/anaedX/toronto-neighbourhoods-sa-initial-code.git</w:t>
        </w:r>
      </w:hyperlink>
      <w:r>
        <w:rPr>
          <w:rFonts w:ascii="NimbusRomNo9L-Regu" w:hAnsi="NimbusRomNo9L-Regu" w:cs="NimbusRomNo9L-Regu"/>
          <w:lang w:val="en-CA"/>
        </w:rPr>
        <w:t xml:space="preserve">       </w:t>
      </w:r>
      <w:r>
        <w:rPr>
          <w:rFonts w:ascii="NimbusRomNo9L-Regu" w:hAnsi="NimbusRomNo9L-Regu" w:cs="NimbusRomNo9L-Regu"/>
          <w:i/>
          <w:iCs/>
          <w:lang w:val="en-CA"/>
        </w:rPr>
        <w:t xml:space="preserve"> </w:t>
      </w:r>
    </w:p>
    <w:p w14:paraId="3E5182CC" w14:textId="77777777" w:rsidR="00DB5D3A" w:rsidRDefault="00DB5D3A" w:rsidP="00353A19">
      <w:pPr>
        <w:pStyle w:val="Heading1"/>
      </w:pPr>
      <w:r>
        <w:t>Approach</w:t>
      </w:r>
    </w:p>
    <w:p w14:paraId="58139563" w14:textId="643D6C08" w:rsidR="00353A19" w:rsidRDefault="00A90511" w:rsidP="00DB5D3A">
      <w:r>
        <w:t xml:space="preserve">The approach that this paper will take is machine-learning by employing a number of different features to build a classifier that can detect tweets that express sentiment or opinion. </w:t>
      </w:r>
      <w:r w:rsidR="007F5DB2">
        <w:t>It will treat the problem as a binary classification, classifying tweets as either positive or negative in supervised ensembles.</w:t>
      </w:r>
      <w:r>
        <w:t xml:space="preserve"> </w:t>
      </w:r>
    </w:p>
    <w:p w14:paraId="0256E989" w14:textId="662E7EDE" w:rsidR="00353A19" w:rsidRDefault="00881C19" w:rsidP="00DB5D3A">
      <w:r w:rsidRPr="00881C19">
        <w:rPr>
          <w:noProof/>
        </w:rPr>
        <w:drawing>
          <wp:inline distT="0" distB="0" distL="0" distR="0" wp14:anchorId="20C6005D" wp14:editId="22E3AEE6">
            <wp:extent cx="5943600" cy="3383280"/>
            <wp:effectExtent l="0" t="0" r="0" b="76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A9D148A" w14:textId="20225EBC" w:rsidR="00C15465" w:rsidRDefault="00C15465" w:rsidP="00C15465">
      <w:pPr>
        <w:pStyle w:val="Heading2"/>
      </w:pPr>
      <w:r>
        <w:t xml:space="preserve">Step 1: </w:t>
      </w:r>
      <w:r w:rsidR="005F74F1">
        <w:t>Data Collection</w:t>
      </w:r>
    </w:p>
    <w:p w14:paraId="3729B98A" w14:textId="51988825" w:rsidR="00C15465" w:rsidRDefault="00D97199" w:rsidP="00C15465">
      <w:r>
        <w:t>Twitter data was collected</w:t>
      </w:r>
      <w:r w:rsidR="00A90511">
        <w:t xml:space="preserve"> using the </w:t>
      </w:r>
      <w:proofErr w:type="spellStart"/>
      <w:r w:rsidR="00A90511">
        <w:t>Tweepy</w:t>
      </w:r>
      <w:proofErr w:type="spellEnd"/>
      <w:r w:rsidR="00A90511">
        <w:t xml:space="preserve"> Python library and the parameters described in the Data set section of this paper</w:t>
      </w:r>
      <w:r w:rsidR="00C15465">
        <w:t>.</w:t>
      </w:r>
    </w:p>
    <w:p w14:paraId="1D971479" w14:textId="3671FADF" w:rsidR="00D97199" w:rsidRDefault="00D97199" w:rsidP="00C15465">
      <w:r>
        <w:t xml:space="preserve">The training data set that is </w:t>
      </w:r>
      <w:r w:rsidR="00B31F8A">
        <w:t>used in this paper is the</w:t>
      </w:r>
      <w:r>
        <w:t xml:space="preserve"> </w:t>
      </w:r>
      <w:r w:rsidRPr="00D97199">
        <w:t>Sentiment140</w:t>
      </w:r>
      <w:r w:rsidR="00B31F8A">
        <w:rPr>
          <w:rStyle w:val="FootnoteReference"/>
        </w:rPr>
        <w:footnoteReference w:id="8"/>
      </w:r>
      <w:r>
        <w:t xml:space="preserve"> corpu</w:t>
      </w:r>
      <w:r w:rsidR="00B31F8A">
        <w:t>s. The CSV file</w:t>
      </w:r>
      <w:r w:rsidR="00B31F8A" w:rsidRPr="00B31F8A">
        <w:t xml:space="preserve"> contains 1,600,000 tweets extracted using the </w:t>
      </w:r>
      <w:r w:rsidR="00B31F8A">
        <w:t>T</w:t>
      </w:r>
      <w:r w:rsidR="00B31F8A" w:rsidRPr="00B31F8A">
        <w:t xml:space="preserve">witter </w:t>
      </w:r>
      <w:r w:rsidR="00B31F8A">
        <w:t>API</w:t>
      </w:r>
      <w:r w:rsidR="00B31F8A" w:rsidRPr="00B31F8A">
        <w:t>. The tweets have been annotated (0 = negative, 4 = positive)</w:t>
      </w:r>
      <w:r w:rsidR="00B31F8A">
        <w:t xml:space="preserve">. For the purpose of this paper </w:t>
      </w:r>
      <w:r w:rsidR="008A380D">
        <w:t xml:space="preserve">and due to time limitations and the computational burden of testing 1.6 million tweets </w:t>
      </w:r>
      <w:r w:rsidR="00B31F8A">
        <w:t xml:space="preserve">only 10,000 positive tweets and 10,000 negative tweets were extracted from the </w:t>
      </w:r>
      <w:r w:rsidR="00A1073D">
        <w:t>CSV file</w:t>
      </w:r>
      <w:r w:rsidR="00B31F8A">
        <w:t xml:space="preserve"> to use for training. </w:t>
      </w:r>
    </w:p>
    <w:p w14:paraId="4DB20BB0" w14:textId="42772E23" w:rsidR="00D54877" w:rsidRDefault="00D54877" w:rsidP="00C15465"/>
    <w:p w14:paraId="56BFC0F1" w14:textId="26385FFB" w:rsidR="00C15465" w:rsidRDefault="00C15465" w:rsidP="00C15465">
      <w:pPr>
        <w:pStyle w:val="Heading2"/>
      </w:pPr>
      <w:r>
        <w:lastRenderedPageBreak/>
        <w:t xml:space="preserve">Step 2: </w:t>
      </w:r>
      <w:r w:rsidR="00A90511">
        <w:t>Data Preprocessing</w:t>
      </w:r>
    </w:p>
    <w:p w14:paraId="7B1F9A48" w14:textId="71FC66C9" w:rsidR="00B31F8A" w:rsidRDefault="00B31F8A" w:rsidP="00C0733D">
      <w:pPr>
        <w:spacing w:after="0"/>
      </w:pPr>
      <w:r>
        <w:t>Both the Twitter and the training data sets were cleaned using the following methods listed below.</w:t>
      </w:r>
    </w:p>
    <w:p w14:paraId="5D7761CC" w14:textId="5CBE9917" w:rsidR="00B57812" w:rsidRDefault="00B57812" w:rsidP="00C0733D">
      <w:pPr>
        <w:spacing w:after="0"/>
      </w:pPr>
      <w:r>
        <w:t>Use Python NLTK</w:t>
      </w:r>
      <w:r>
        <w:rPr>
          <w:rStyle w:val="FootnoteReference"/>
        </w:rPr>
        <w:footnoteReference w:id="9"/>
      </w:r>
      <w:r>
        <w:t xml:space="preserve"> </w:t>
      </w:r>
      <w:r w:rsidR="00B23765">
        <w:t xml:space="preserve">python library </w:t>
      </w:r>
      <w:r>
        <w:t>to:</w:t>
      </w:r>
    </w:p>
    <w:p w14:paraId="47EFC678" w14:textId="77777777" w:rsidR="00B57812" w:rsidRDefault="00B57812" w:rsidP="00B57812">
      <w:pPr>
        <w:pStyle w:val="ListParagraph"/>
        <w:numPr>
          <w:ilvl w:val="1"/>
          <w:numId w:val="5"/>
        </w:numPr>
        <w:spacing w:after="0"/>
      </w:pPr>
      <w:r>
        <w:t>Remove URLs</w:t>
      </w:r>
    </w:p>
    <w:p w14:paraId="549DD0FE" w14:textId="77777777" w:rsidR="00B57812" w:rsidRDefault="00B57812" w:rsidP="00B57812">
      <w:pPr>
        <w:pStyle w:val="ListParagraph"/>
        <w:numPr>
          <w:ilvl w:val="1"/>
          <w:numId w:val="5"/>
        </w:numPr>
        <w:spacing w:after="0"/>
      </w:pPr>
      <w:r>
        <w:t>Remove Hashtags</w:t>
      </w:r>
    </w:p>
    <w:p w14:paraId="45679397" w14:textId="77777777" w:rsidR="00B57812" w:rsidRDefault="00B57812" w:rsidP="00B57812">
      <w:pPr>
        <w:pStyle w:val="ListParagraph"/>
        <w:numPr>
          <w:ilvl w:val="1"/>
          <w:numId w:val="5"/>
        </w:numPr>
        <w:spacing w:after="0"/>
      </w:pPr>
      <w:r>
        <w:t>Remove Mentions</w:t>
      </w:r>
    </w:p>
    <w:p w14:paraId="3195D03D" w14:textId="77777777" w:rsidR="00B57812" w:rsidRDefault="00B57812" w:rsidP="00B57812">
      <w:pPr>
        <w:pStyle w:val="ListParagraph"/>
        <w:numPr>
          <w:ilvl w:val="1"/>
          <w:numId w:val="5"/>
        </w:numPr>
        <w:spacing w:after="0"/>
      </w:pPr>
      <w:r>
        <w:t>Remove reserved words (RT, FAV)</w:t>
      </w:r>
    </w:p>
    <w:p w14:paraId="5B627978" w14:textId="77777777" w:rsidR="00B57812" w:rsidRDefault="00B57812" w:rsidP="00B57812">
      <w:pPr>
        <w:pStyle w:val="ListParagraph"/>
        <w:numPr>
          <w:ilvl w:val="1"/>
          <w:numId w:val="5"/>
        </w:numPr>
        <w:spacing w:after="0"/>
      </w:pPr>
      <w:r>
        <w:rPr>
          <w:shd w:val="clear" w:color="auto" w:fill="FFFFFF"/>
        </w:rPr>
        <w:t>Tokenize the tweets</w:t>
      </w:r>
    </w:p>
    <w:p w14:paraId="6BDACB1B" w14:textId="74E6569A" w:rsidR="00B57812" w:rsidRDefault="00B57812" w:rsidP="00B57812">
      <w:pPr>
        <w:pStyle w:val="ListParagraph"/>
        <w:numPr>
          <w:ilvl w:val="1"/>
          <w:numId w:val="5"/>
        </w:numPr>
        <w:spacing w:after="0"/>
      </w:pPr>
      <w:r>
        <w:rPr>
          <w:shd w:val="clear" w:color="auto" w:fill="FFFFFF"/>
        </w:rPr>
        <w:t>Lemmatize tweets</w:t>
      </w:r>
      <w:r w:rsidR="00B31F8A">
        <w:rPr>
          <w:shd w:val="clear" w:color="auto" w:fill="FFFFFF"/>
        </w:rPr>
        <w:t xml:space="preserve"> – using </w:t>
      </w:r>
      <w:proofErr w:type="spellStart"/>
      <w:r w:rsidR="00B31F8A" w:rsidRPr="00B31F8A">
        <w:rPr>
          <w:shd w:val="clear" w:color="auto" w:fill="FFFFFF"/>
        </w:rPr>
        <w:t>WordNetLemmatizer</w:t>
      </w:r>
      <w:proofErr w:type="spellEnd"/>
      <w:r w:rsidR="00B31F8A">
        <w:rPr>
          <w:rStyle w:val="FootnoteReference"/>
          <w:shd w:val="clear" w:color="auto" w:fill="FFFFFF"/>
        </w:rPr>
        <w:footnoteReference w:id="10"/>
      </w:r>
    </w:p>
    <w:p w14:paraId="43AEB4D5" w14:textId="77777777" w:rsidR="00B57812" w:rsidRDefault="00B57812" w:rsidP="00B57812">
      <w:pPr>
        <w:pStyle w:val="ListParagraph"/>
        <w:numPr>
          <w:ilvl w:val="1"/>
          <w:numId w:val="5"/>
        </w:numPr>
        <w:spacing w:after="0"/>
      </w:pPr>
      <w:r>
        <w:t>Filter Out Punctuation</w:t>
      </w:r>
    </w:p>
    <w:p w14:paraId="205C2A1F" w14:textId="77777777" w:rsidR="00B57812" w:rsidRDefault="00B57812" w:rsidP="00B57812">
      <w:pPr>
        <w:pStyle w:val="ListParagraph"/>
        <w:numPr>
          <w:ilvl w:val="1"/>
          <w:numId w:val="5"/>
        </w:numPr>
        <w:spacing w:after="0"/>
      </w:pPr>
      <w:r>
        <w:t>Filter out Stop Words (and Pipeline)</w:t>
      </w:r>
    </w:p>
    <w:p w14:paraId="0AC89978" w14:textId="77777777" w:rsidR="00B57812" w:rsidRDefault="00B57812" w:rsidP="00B57812">
      <w:pPr>
        <w:spacing w:after="0" w:line="240" w:lineRule="auto"/>
        <w:rPr>
          <w:rFonts w:ascii="Times New Roman" w:hAnsi="Times New Roman" w:cs="Times New Roman"/>
          <w:sz w:val="24"/>
          <w:szCs w:val="24"/>
          <w:lang w:val="en-CA" w:eastAsia="en-CA"/>
        </w:rPr>
      </w:pPr>
      <w:r>
        <w:t>Use Python emoji</w:t>
      </w:r>
      <w:r>
        <w:rPr>
          <w:rStyle w:val="FootnoteReference"/>
        </w:rPr>
        <w:footnoteReference w:id="11"/>
      </w:r>
      <w:r>
        <w:t xml:space="preserve"> to replace emoticons and emoji with its equivalent meaning</w:t>
      </w:r>
      <w:r>
        <w:rPr>
          <w:rFonts w:ascii="Times New Roman" w:hAnsi="Times New Roman" w:cs="Times New Roman"/>
          <w:sz w:val="24"/>
          <w:szCs w:val="24"/>
          <w:lang w:val="en-CA" w:eastAsia="en-CA"/>
        </w:rPr>
        <w:t xml:space="preserve"> </w:t>
      </w:r>
    </w:p>
    <w:p w14:paraId="303EAD96" w14:textId="6BAD4256" w:rsidR="00C15465" w:rsidRDefault="00C15465" w:rsidP="00C15465">
      <w:pPr>
        <w:pStyle w:val="Heading2"/>
      </w:pPr>
      <w:r>
        <w:t xml:space="preserve">Step </w:t>
      </w:r>
      <w:r w:rsidR="007F5DB2">
        <w:t>3</w:t>
      </w:r>
      <w:r>
        <w:t xml:space="preserve">: </w:t>
      </w:r>
      <w:r w:rsidR="006E3E84">
        <w:t>Feature Extraction</w:t>
      </w:r>
    </w:p>
    <w:p w14:paraId="2406D82A" w14:textId="51A3D03C" w:rsidR="00F14A72" w:rsidRDefault="008E2761" w:rsidP="00F14A72">
      <w:proofErr w:type="spellStart"/>
      <w:r w:rsidRPr="008E2761">
        <w:t>Scikit</w:t>
      </w:r>
      <w:proofErr w:type="spellEnd"/>
      <w:r w:rsidRPr="008E2761">
        <w:t>-learn</w:t>
      </w:r>
      <w:r w:rsidR="00BB2D18">
        <w:rPr>
          <w:rStyle w:val="FootnoteReference"/>
        </w:rPr>
        <w:footnoteReference w:id="12"/>
      </w:r>
      <w:r>
        <w:t xml:space="preserve"> </w:t>
      </w:r>
      <w:r w:rsidRPr="008E2761">
        <w:t>software machine learning library for the Python</w:t>
      </w:r>
      <w:r>
        <w:t xml:space="preserve"> </w:t>
      </w:r>
      <w:r w:rsidR="00146815">
        <w:t xml:space="preserve">is used </w:t>
      </w:r>
      <w:r>
        <w:t xml:space="preserve">for feature </w:t>
      </w:r>
      <w:r w:rsidR="00BB2D18">
        <w:t>representation</w:t>
      </w:r>
      <w:r w:rsidR="00C15465">
        <w:t>.</w:t>
      </w:r>
      <w:r w:rsidR="00BB2D18">
        <w:t xml:space="preserve"> </w:t>
      </w:r>
      <w:r w:rsidR="00146815">
        <w:t xml:space="preserve">The library’s </w:t>
      </w:r>
      <w:proofErr w:type="spellStart"/>
      <w:r w:rsidR="00146815" w:rsidRPr="00146815">
        <w:t>Tf</w:t>
      </w:r>
      <w:proofErr w:type="spellEnd"/>
      <w:r w:rsidR="00146815" w:rsidRPr="00146815">
        <w:t>–</w:t>
      </w:r>
      <w:proofErr w:type="spellStart"/>
      <w:r w:rsidR="00146815" w:rsidRPr="00146815">
        <w:t>idf</w:t>
      </w:r>
      <w:proofErr w:type="spellEnd"/>
      <w:r w:rsidR="00146815" w:rsidRPr="00146815">
        <w:t xml:space="preserve"> term weighting</w:t>
      </w:r>
      <w:r w:rsidR="00146815">
        <w:rPr>
          <w:rStyle w:val="FootnoteReference"/>
        </w:rPr>
        <w:footnoteReference w:id="13"/>
      </w:r>
      <w:r w:rsidR="00BB2D18">
        <w:t xml:space="preserve"> </w:t>
      </w:r>
      <w:r w:rsidR="00146815">
        <w:t xml:space="preserve"> is</w:t>
      </w:r>
      <w:r w:rsidR="00BB2D18">
        <w:t xml:space="preserve"> used </w:t>
      </w:r>
      <w:r w:rsidR="00BB2D18" w:rsidRPr="00BB2D18">
        <w:t>to</w:t>
      </w:r>
      <w:r w:rsidR="00BB2D18">
        <w:t xml:space="preserve"> </w:t>
      </w:r>
      <w:r w:rsidR="00BB2D18" w:rsidRPr="00BB2D18">
        <w:t>convert</w:t>
      </w:r>
      <w:r w:rsidR="00BB2D18">
        <w:t xml:space="preserve"> </w:t>
      </w:r>
      <w:r w:rsidR="00BB2D18" w:rsidRPr="00BB2D18">
        <w:t>training</w:t>
      </w:r>
      <w:r w:rsidR="00BB2D18">
        <w:t xml:space="preserve"> </w:t>
      </w:r>
      <w:r w:rsidR="00BB2D18" w:rsidRPr="00BB2D18">
        <w:t>tweets</w:t>
      </w:r>
      <w:r w:rsidR="00BB2D18">
        <w:t xml:space="preserve"> </w:t>
      </w:r>
      <w:r w:rsidR="00BB2D18" w:rsidRPr="00BB2D18">
        <w:t>into</w:t>
      </w:r>
      <w:r w:rsidR="00BB2D18">
        <w:t xml:space="preserve"> </w:t>
      </w:r>
      <w:r w:rsidR="00BB2D18" w:rsidRPr="00BB2D18">
        <w:t>numeric</w:t>
      </w:r>
      <w:r w:rsidR="00BB2D18">
        <w:t xml:space="preserve"> </w:t>
      </w:r>
      <w:r w:rsidR="00BB2D18" w:rsidRPr="00BB2D18">
        <w:t>representation</w:t>
      </w:r>
      <w:r w:rsidR="00BB2D18">
        <w:t>.</w:t>
      </w:r>
    </w:p>
    <w:p w14:paraId="0D5E6CDC" w14:textId="7072E0F2" w:rsidR="00BB2D18" w:rsidRDefault="00BB2D18" w:rsidP="00BB2D18">
      <w:pPr>
        <w:pStyle w:val="Heading2"/>
      </w:pPr>
      <w:bookmarkStart w:id="1" w:name="_Step_4:_Model"/>
      <w:bookmarkEnd w:id="1"/>
      <w:r>
        <w:t xml:space="preserve">Step 4: </w:t>
      </w:r>
      <w:r w:rsidR="00D245BA">
        <w:t>Model Training</w:t>
      </w:r>
      <w:r w:rsidR="00E82A79">
        <w:t xml:space="preserve"> and Testing</w:t>
      </w:r>
    </w:p>
    <w:p w14:paraId="5CCC6986" w14:textId="7FD2533C" w:rsidR="00BB2D18" w:rsidRDefault="008F6531" w:rsidP="00D245BA">
      <w:pPr>
        <w:spacing w:after="0"/>
      </w:pPr>
      <w:r>
        <w:t>The following b</w:t>
      </w:r>
      <w:r w:rsidR="00D245BA">
        <w:t xml:space="preserve">ase classifiers </w:t>
      </w:r>
      <w:r>
        <w:rPr>
          <w:shd w:val="clear" w:color="auto" w:fill="FFFFFF"/>
        </w:rPr>
        <w:t>are used:</w:t>
      </w:r>
      <w:r w:rsidR="00D245BA">
        <w:t xml:space="preserve"> </w:t>
      </w:r>
    </w:p>
    <w:p w14:paraId="34AC1605" w14:textId="2D58CDED" w:rsidR="00D245BA" w:rsidRPr="00B23765" w:rsidRDefault="00B23765" w:rsidP="00D245BA">
      <w:pPr>
        <w:pStyle w:val="ListParagraph"/>
        <w:numPr>
          <w:ilvl w:val="0"/>
          <w:numId w:val="4"/>
        </w:numPr>
      </w:pPr>
      <w:r>
        <w:rPr>
          <w:rFonts w:ascii="NimbusRomNo9L-Regu" w:hAnsi="NimbusRomNo9L-Regu" w:cs="NimbusRomNo9L-Regu"/>
          <w:lang w:val="en-CA"/>
        </w:rPr>
        <w:t xml:space="preserve">Multinomial Naïve </w:t>
      </w:r>
      <w:r w:rsidR="00D245BA" w:rsidRPr="006C3175">
        <w:rPr>
          <w:rFonts w:ascii="NimbusRomNo9L-Regu" w:hAnsi="NimbusRomNo9L-Regu" w:cs="NimbusRomNo9L-Regu"/>
          <w:lang w:val="en-CA"/>
        </w:rPr>
        <w:t>Bayes</w:t>
      </w:r>
      <w:r>
        <w:rPr>
          <w:rFonts w:ascii="NimbusRomNo9L-Regu" w:hAnsi="NimbusRomNo9L-Regu" w:cs="NimbusRomNo9L-Regu"/>
          <w:lang w:val="en-CA"/>
        </w:rPr>
        <w:t xml:space="preserve"> </w:t>
      </w:r>
    </w:p>
    <w:p w14:paraId="4413E61E" w14:textId="77777777" w:rsidR="00D245BA" w:rsidRPr="00D245BA" w:rsidRDefault="00D245BA" w:rsidP="00D245BA">
      <w:pPr>
        <w:pStyle w:val="ListParagraph"/>
        <w:numPr>
          <w:ilvl w:val="0"/>
          <w:numId w:val="4"/>
        </w:numPr>
      </w:pPr>
      <w:r>
        <w:rPr>
          <w:rFonts w:ascii="NimbusRomNo9L-Regu" w:hAnsi="NimbusRomNo9L-Regu" w:cs="NimbusRomNo9L-Regu"/>
          <w:lang w:val="en-CA"/>
        </w:rPr>
        <w:t xml:space="preserve">Random Forest </w:t>
      </w:r>
    </w:p>
    <w:p w14:paraId="1368F36F" w14:textId="5830D831" w:rsidR="00D245BA" w:rsidRPr="00D245BA" w:rsidRDefault="00D245BA" w:rsidP="00D245BA">
      <w:pPr>
        <w:pStyle w:val="ListParagraph"/>
        <w:numPr>
          <w:ilvl w:val="0"/>
          <w:numId w:val="4"/>
        </w:numPr>
      </w:pPr>
      <w:r>
        <w:rPr>
          <w:rFonts w:ascii="NimbusRomNo9L-Regu" w:hAnsi="NimbusRomNo9L-Regu" w:cs="NimbusRomNo9L-Regu"/>
          <w:lang w:val="en-CA"/>
        </w:rPr>
        <w:t>Support Vector Machine</w:t>
      </w:r>
      <w:r w:rsidR="00A1073D">
        <w:rPr>
          <w:rFonts w:ascii="NimbusRomNo9L-Regu" w:hAnsi="NimbusRomNo9L-Regu" w:cs="NimbusRomNo9L-Regu"/>
          <w:lang w:val="en-CA"/>
        </w:rPr>
        <w:t xml:space="preserve">s – specifically </w:t>
      </w:r>
      <w:r w:rsidR="00A1073D" w:rsidRPr="00A1073D">
        <w:rPr>
          <w:rFonts w:ascii="NimbusRomNo9L-Regu" w:hAnsi="NimbusRomNo9L-Regu" w:cs="NimbusRomNo9L-Regu"/>
          <w:lang w:val="en-CA"/>
        </w:rPr>
        <w:t>C-Support Vector Classification</w:t>
      </w:r>
      <w:r>
        <w:rPr>
          <w:rFonts w:ascii="NimbusRomNo9L-Regu" w:hAnsi="NimbusRomNo9L-Regu" w:cs="NimbusRomNo9L-Regu"/>
          <w:lang w:val="en-CA"/>
        </w:rPr>
        <w:t xml:space="preserve"> </w:t>
      </w:r>
    </w:p>
    <w:p w14:paraId="016D93A2" w14:textId="27E33C11" w:rsidR="00D245BA" w:rsidRPr="00D245BA" w:rsidRDefault="00D245BA" w:rsidP="00D245BA">
      <w:pPr>
        <w:pStyle w:val="ListParagraph"/>
        <w:numPr>
          <w:ilvl w:val="0"/>
          <w:numId w:val="4"/>
        </w:numPr>
      </w:pPr>
      <w:r>
        <w:rPr>
          <w:rFonts w:ascii="NimbusRomNo9L-Regu" w:hAnsi="NimbusRomNo9L-Regu" w:cs="NimbusRomNo9L-Regu"/>
          <w:lang w:val="en-CA"/>
        </w:rPr>
        <w:t xml:space="preserve">Logistic </w:t>
      </w:r>
      <w:r w:rsidR="004540D8">
        <w:rPr>
          <w:rFonts w:ascii="NimbusRomNo9L-Regu" w:hAnsi="NimbusRomNo9L-Regu" w:cs="NimbusRomNo9L-Regu"/>
          <w:lang w:val="en-CA"/>
        </w:rPr>
        <w:t>R</w:t>
      </w:r>
      <w:r>
        <w:rPr>
          <w:rFonts w:ascii="NimbusRomNo9L-Regu" w:hAnsi="NimbusRomNo9L-Regu" w:cs="NimbusRomNo9L-Regu"/>
          <w:lang w:val="en-CA"/>
        </w:rPr>
        <w:t>egression</w:t>
      </w:r>
    </w:p>
    <w:p w14:paraId="430C06A5" w14:textId="3BCE8201" w:rsidR="00602722" w:rsidRDefault="00C07ACA" w:rsidP="0033375A">
      <w:r>
        <w:t>The ensemble classified algorithm proposed by</w:t>
      </w:r>
      <w:r w:rsidR="00602722">
        <w:t xml:space="preserve"> Ankit (2018) </w:t>
      </w:r>
      <w:r>
        <w:t>was used. The function based on Ankit’s algorithm is shown</w:t>
      </w:r>
      <w:r w:rsidR="0050280E">
        <w:t xml:space="preserve"> in the figure 2 below.</w:t>
      </w:r>
    </w:p>
    <w:p w14:paraId="2A3A9E50" w14:textId="77777777" w:rsidR="00C07ACA" w:rsidRPr="00D93973" w:rsidRDefault="00C07ACA" w:rsidP="00C07ACA">
      <w:r>
        <w:t>10-fold cross validation was used to split and train the data for the model.</w:t>
      </w:r>
    </w:p>
    <w:p w14:paraId="7C5E3FD2" w14:textId="77777777" w:rsidR="00C07ACA" w:rsidRDefault="00C07ACA" w:rsidP="0033375A"/>
    <w:bookmarkStart w:id="2" w:name="_MON_1647718539"/>
    <w:bookmarkEnd w:id="2"/>
    <w:p w14:paraId="05E78855" w14:textId="02FBF322" w:rsidR="0050280E" w:rsidRDefault="00D54877" w:rsidP="00D4105E">
      <w:pPr>
        <w:keepNext/>
        <w:spacing w:after="0"/>
      </w:pPr>
      <w:r>
        <w:object w:dxaOrig="9360" w:dyaOrig="12880" w14:anchorId="50F08BED">
          <v:shape id="_x0000_i1069" type="#_x0000_t75" style="width:435pt;height:599.4pt" o:ole="">
            <v:imagedata r:id="rId16" o:title=""/>
          </v:shape>
          <o:OLEObject Type="Embed" ProgID="Word.OpenDocumentText.12" ShapeID="_x0000_i1069" DrawAspect="Content" ObjectID="_1647722670" r:id="rId17"/>
        </w:object>
      </w:r>
    </w:p>
    <w:p w14:paraId="4ECE6963" w14:textId="1C1A0FCF" w:rsidR="0050280E" w:rsidRDefault="0050280E" w:rsidP="0050280E">
      <w:pPr>
        <w:pStyle w:val="Caption"/>
      </w:pPr>
      <w:r>
        <w:t xml:space="preserve">Figure </w:t>
      </w:r>
      <w:r>
        <w:fldChar w:fldCharType="begin"/>
      </w:r>
      <w:r>
        <w:instrText xml:space="preserve"> SEQ Figure \* ARABIC </w:instrText>
      </w:r>
      <w:r>
        <w:fldChar w:fldCharType="separate"/>
      </w:r>
      <w:r w:rsidR="006A4DEF">
        <w:rPr>
          <w:noProof/>
        </w:rPr>
        <w:t>2</w:t>
      </w:r>
      <w:r>
        <w:fldChar w:fldCharType="end"/>
      </w:r>
      <w:r w:rsidR="00D54877">
        <w:t>.</w:t>
      </w:r>
      <w:r>
        <w:t xml:space="preserve"> </w:t>
      </w:r>
      <w:r w:rsidR="00C07ACA">
        <w:rPr>
          <w:i w:val="0"/>
          <w:iCs w:val="0"/>
        </w:rPr>
        <w:t>Function in python based on Ankit’s (2018)</w:t>
      </w:r>
      <w:r>
        <w:rPr>
          <w:i w:val="0"/>
          <w:iCs w:val="0"/>
        </w:rPr>
        <w:t xml:space="preserve"> </w:t>
      </w:r>
      <w:r w:rsidR="00C07ACA">
        <w:rPr>
          <w:i w:val="0"/>
          <w:iCs w:val="0"/>
        </w:rPr>
        <w:t xml:space="preserve">ensemble classifier </w:t>
      </w:r>
      <w:r>
        <w:rPr>
          <w:i w:val="0"/>
          <w:iCs w:val="0"/>
        </w:rPr>
        <w:t>algorithm</w:t>
      </w:r>
      <w:r w:rsidR="00C07ACA">
        <w:rPr>
          <w:i w:val="0"/>
          <w:iCs w:val="0"/>
        </w:rPr>
        <w:t>.</w:t>
      </w:r>
    </w:p>
    <w:p w14:paraId="6F9D6538" w14:textId="686E1007" w:rsidR="00D93973" w:rsidRDefault="00D93973" w:rsidP="00D93973">
      <w:pPr>
        <w:pStyle w:val="Heading2"/>
      </w:pPr>
      <w:r>
        <w:lastRenderedPageBreak/>
        <w:t>Step 5: Evaluation</w:t>
      </w:r>
    </w:p>
    <w:p w14:paraId="04411B18" w14:textId="4E0F77E8" w:rsidR="00D93973" w:rsidRDefault="00D93973" w:rsidP="00D93973">
      <w:pPr>
        <w:spacing w:after="0"/>
      </w:pPr>
      <w:r>
        <w:t xml:space="preserve">The classifiers </w:t>
      </w:r>
      <w:r w:rsidR="00146815">
        <w:t>are</w:t>
      </w:r>
      <w:r w:rsidR="00394B17">
        <w:t xml:space="preserve"> evaluated using </w:t>
      </w:r>
      <w:r w:rsidR="00394B17">
        <w:rPr>
          <w:rFonts w:ascii="NimbusRomNo9L-Regu" w:hAnsi="NimbusRomNo9L-Regu" w:cs="NimbusRomNo9L-Regu"/>
          <w:lang w:val="en-CA"/>
        </w:rPr>
        <w:t>accuracy, precision, recall and F1 scores.</w:t>
      </w:r>
    </w:p>
    <w:p w14:paraId="50B92409" w14:textId="75E6E90E" w:rsidR="00D93973" w:rsidRDefault="00D93973" w:rsidP="00D93973">
      <w:pPr>
        <w:pStyle w:val="Heading2"/>
      </w:pPr>
      <w:r>
        <w:t xml:space="preserve">Step 6: </w:t>
      </w:r>
      <w:r w:rsidR="00394B17">
        <w:t>Parameter Tuning</w:t>
      </w:r>
    </w:p>
    <w:p w14:paraId="3F257A27" w14:textId="17433E7A" w:rsidR="00FA0285" w:rsidRDefault="00EF76EC" w:rsidP="00D93973">
      <w:r>
        <w:t>P</w:t>
      </w:r>
      <w:r w:rsidR="00835B3F">
        <w:t xml:space="preserve">arameters </w:t>
      </w:r>
      <w:r w:rsidR="007718B4">
        <w:t xml:space="preserve">for the classifiers listed below </w:t>
      </w:r>
      <w:r w:rsidR="00835B3F">
        <w:t xml:space="preserve">are tuned using </w:t>
      </w:r>
      <w:proofErr w:type="spellStart"/>
      <w:r w:rsidR="00835B3F">
        <w:t>Scikit-learn</w:t>
      </w:r>
      <w:r w:rsidR="00B42CD7">
        <w:t>’s</w:t>
      </w:r>
      <w:proofErr w:type="spellEnd"/>
      <w:r w:rsidR="00B42CD7">
        <w:t xml:space="preserve"> meta-estimator </w:t>
      </w:r>
      <w:r w:rsidR="00B42CD7" w:rsidRPr="00B42CD7">
        <w:t>Exhaustive Grid Search</w:t>
      </w:r>
      <w:r w:rsidR="00B42CD7">
        <w:rPr>
          <w:rStyle w:val="FootnoteReference"/>
        </w:rPr>
        <w:footnoteReference w:id="14"/>
      </w:r>
      <w:r w:rsidR="0033375A">
        <w:t xml:space="preserve">. </w:t>
      </w:r>
      <w:proofErr w:type="spellStart"/>
      <w:r w:rsidR="0033375A" w:rsidRPr="0033375A">
        <w:t>GridSearchCV</w:t>
      </w:r>
      <w:proofErr w:type="spellEnd"/>
      <w:r w:rsidR="00B42CD7" w:rsidRPr="00B42CD7">
        <w:t xml:space="preserve"> generates candidates from a grid of parameter values specified with the </w:t>
      </w:r>
      <w:proofErr w:type="spellStart"/>
      <w:r w:rsidR="00B42CD7" w:rsidRPr="00B42CD7">
        <w:t>param_grid</w:t>
      </w:r>
      <w:proofErr w:type="spellEnd"/>
      <w:r w:rsidR="00B42CD7" w:rsidRPr="00B42CD7">
        <w:t xml:space="preserve"> parameter</w:t>
      </w:r>
      <w:r w:rsidR="00B42CD7">
        <w:t>.</w:t>
      </w:r>
    </w:p>
    <w:p w14:paraId="6A3B5B98" w14:textId="4BD5D55B" w:rsidR="00D93973" w:rsidRPr="007718B4" w:rsidRDefault="00B42CD7" w:rsidP="00FA0285">
      <w:pPr>
        <w:pStyle w:val="ListParagraph"/>
        <w:numPr>
          <w:ilvl w:val="0"/>
          <w:numId w:val="6"/>
        </w:numPr>
      </w:pPr>
      <w:r w:rsidRPr="00FA0285">
        <w:rPr>
          <w:rFonts w:ascii="NimbusRomNo9L-Regu" w:hAnsi="NimbusRomNo9L-Regu" w:cs="NimbusRomNo9L-Regu"/>
          <w:lang w:val="en-CA"/>
        </w:rPr>
        <w:t>C-Support Vector Classification</w:t>
      </w:r>
      <w:r w:rsidR="009A5B5A">
        <w:rPr>
          <w:rFonts w:ascii="NimbusRomNo9L-Regu" w:hAnsi="NimbusRomNo9L-Regu" w:cs="NimbusRomNo9L-Regu"/>
          <w:lang w:val="en-CA"/>
        </w:rPr>
        <w:t xml:space="preserve"> </w:t>
      </w:r>
      <w:r w:rsidR="004540D8">
        <w:rPr>
          <w:rFonts w:ascii="NimbusRomNo9L-Regu" w:hAnsi="NimbusRomNo9L-Regu" w:cs="NimbusRomNo9L-Regu"/>
          <w:lang w:val="en-CA"/>
        </w:rPr>
        <w:t>–</w:t>
      </w:r>
      <w:r w:rsidRPr="00FA0285">
        <w:rPr>
          <w:rFonts w:ascii="NimbusRomNo9L-Regu" w:hAnsi="NimbusRomNo9L-Regu" w:cs="NimbusRomNo9L-Regu"/>
          <w:lang w:val="en-CA"/>
        </w:rPr>
        <w:t xml:space="preserve"> the</w:t>
      </w:r>
      <w:r w:rsidR="004540D8">
        <w:rPr>
          <w:rFonts w:ascii="NimbusRomNo9L-Regu" w:hAnsi="NimbusRomNo9L-Regu" w:cs="NimbusRomNo9L-Regu"/>
          <w:lang w:val="en-CA"/>
        </w:rPr>
        <w:t xml:space="preserve"> </w:t>
      </w:r>
      <w:r w:rsidR="00E82A79" w:rsidRPr="00FA0285">
        <w:rPr>
          <w:rFonts w:ascii="NimbusRomNo9L-Regu" w:hAnsi="NimbusRomNo9L-Regu" w:cs="NimbusRomNo9L-Regu"/>
          <w:lang w:val="en-CA"/>
        </w:rPr>
        <w:t xml:space="preserve">best </w:t>
      </w:r>
      <w:r w:rsidR="00E82A79" w:rsidRPr="009A5B5A">
        <w:rPr>
          <w:rFonts w:ascii="NimbusRomNo9L-Regu" w:hAnsi="NimbusRomNo9L-Regu" w:cs="NimbusRomNo9L-Regu"/>
          <w:i/>
          <w:iCs/>
          <w:lang w:val="en-CA"/>
        </w:rPr>
        <w:t>C</w:t>
      </w:r>
      <w:r w:rsidR="00E82A79" w:rsidRPr="00FA0285">
        <w:rPr>
          <w:rFonts w:ascii="NimbusRomNo9L-Regu" w:hAnsi="NimbusRomNo9L-Regu" w:cs="NimbusRomNo9L-Regu"/>
          <w:lang w:val="en-CA"/>
        </w:rPr>
        <w:t xml:space="preserve">, </w:t>
      </w:r>
      <w:r w:rsidR="00E82A79" w:rsidRPr="009A5B5A">
        <w:rPr>
          <w:rFonts w:ascii="NimbusRomNo9L-Regu" w:hAnsi="NimbusRomNo9L-Regu" w:cs="NimbusRomNo9L-Regu"/>
          <w:i/>
          <w:iCs/>
          <w:lang w:val="en-CA"/>
        </w:rPr>
        <w:t>gamma</w:t>
      </w:r>
      <w:r w:rsidR="00E82A79" w:rsidRPr="00FA0285">
        <w:rPr>
          <w:rFonts w:ascii="NimbusRomNo9L-Regu" w:hAnsi="NimbusRomNo9L-Regu" w:cs="NimbusRomNo9L-Regu"/>
          <w:lang w:val="en-CA"/>
        </w:rPr>
        <w:t xml:space="preserve"> and </w:t>
      </w:r>
      <w:r w:rsidR="00E82A79" w:rsidRPr="009A5B5A">
        <w:rPr>
          <w:rFonts w:ascii="NimbusRomNo9L-Regu" w:hAnsi="NimbusRomNo9L-Regu" w:cs="NimbusRomNo9L-Regu"/>
          <w:i/>
          <w:iCs/>
          <w:lang w:val="en-CA"/>
        </w:rPr>
        <w:t xml:space="preserve">kernel </w:t>
      </w:r>
      <w:r w:rsidR="00E82A79" w:rsidRPr="00FA0285">
        <w:rPr>
          <w:rFonts w:ascii="NimbusRomNo9L-Regu" w:hAnsi="NimbusRomNo9L-Regu" w:cs="NimbusRomNo9L-Regu"/>
          <w:lang w:val="en-CA"/>
        </w:rPr>
        <w:t xml:space="preserve">values were predicted using </w:t>
      </w:r>
      <w:r w:rsidR="0033375A" w:rsidRPr="00FA0285">
        <w:rPr>
          <w:rFonts w:ascii="NimbusRomNo9L-Regu" w:hAnsi="NimbusRomNo9L-Regu" w:cs="NimbusRomNo9L-Regu"/>
          <w:lang w:val="en-CA"/>
        </w:rPr>
        <w:t xml:space="preserve">a grid of hyper-parameters that were run to try all of their combinations and those with the best results were generated and used. </w:t>
      </w:r>
      <w:r w:rsidR="00D53533">
        <w:rPr>
          <w:rFonts w:ascii="NimbusRomNo9L-Regu" w:hAnsi="NimbusRomNo9L-Regu" w:cs="NimbusRomNo9L-Regu"/>
          <w:lang w:val="en-CA"/>
        </w:rPr>
        <w:t xml:space="preserve">The parameters were tuned to </w:t>
      </w:r>
      <w:r w:rsidR="00D53533">
        <w:rPr>
          <w:rFonts w:ascii="NimbusRomNo9L-Regu" w:hAnsi="NimbusRomNo9L-Regu" w:cs="NimbusRomNo9L-Regu"/>
          <w:i/>
          <w:iCs/>
          <w:lang w:val="en-CA"/>
        </w:rPr>
        <w:t>c</w:t>
      </w:r>
      <w:r w:rsidR="00D53533">
        <w:rPr>
          <w:rFonts w:ascii="NimbusRomNo9L-Regu" w:hAnsi="NimbusRomNo9L-Regu" w:cs="NimbusRomNo9L-Regu"/>
          <w:lang w:val="en-CA"/>
        </w:rPr>
        <w:t>:</w:t>
      </w:r>
      <w:r w:rsidR="00D53533" w:rsidRPr="00D53533">
        <w:rPr>
          <w:rFonts w:ascii="NimbusRomNo9L-Regu" w:hAnsi="NimbusRomNo9L-Regu" w:cs="NimbusRomNo9L-Regu"/>
          <w:lang w:val="en-CA"/>
        </w:rPr>
        <w:t>1</w:t>
      </w:r>
      <w:r w:rsidR="00D53533">
        <w:rPr>
          <w:rFonts w:ascii="NimbusRomNo9L-Regu" w:hAnsi="NimbusRomNo9L-Regu" w:cs="NimbusRomNo9L-Regu"/>
          <w:lang w:val="en-CA"/>
        </w:rPr>
        <w:t xml:space="preserve">, </w:t>
      </w:r>
      <w:r w:rsidR="00D53533" w:rsidRPr="00D53533">
        <w:rPr>
          <w:rFonts w:ascii="NimbusRomNo9L-Regu" w:hAnsi="NimbusRomNo9L-Regu" w:cs="NimbusRomNo9L-Regu"/>
          <w:i/>
          <w:iCs/>
          <w:lang w:val="en-CA"/>
        </w:rPr>
        <w:t>gamma</w:t>
      </w:r>
      <w:r w:rsidR="00D53533">
        <w:rPr>
          <w:rFonts w:ascii="NimbusRomNo9L-Regu" w:hAnsi="NimbusRomNo9L-Regu" w:cs="NimbusRomNo9L-Regu"/>
          <w:i/>
          <w:iCs/>
          <w:lang w:val="en-CA"/>
        </w:rPr>
        <w:t>:</w:t>
      </w:r>
      <w:r w:rsidR="00D53533">
        <w:rPr>
          <w:rFonts w:ascii="NimbusRomNo9L-Regu" w:hAnsi="NimbusRomNo9L-Regu" w:cs="NimbusRomNo9L-Regu"/>
          <w:lang w:val="en-CA"/>
        </w:rPr>
        <w:t xml:space="preserve"> 1, and </w:t>
      </w:r>
      <w:r w:rsidR="00D53533" w:rsidRPr="00D53533">
        <w:rPr>
          <w:rFonts w:ascii="NimbusRomNo9L-Regu" w:hAnsi="NimbusRomNo9L-Regu" w:cs="NimbusRomNo9L-Regu"/>
          <w:i/>
          <w:iCs/>
          <w:lang w:val="en-CA"/>
        </w:rPr>
        <w:t>kernel</w:t>
      </w:r>
      <w:r w:rsidR="00D53533">
        <w:rPr>
          <w:rFonts w:ascii="NimbusRomNo9L-Regu" w:hAnsi="NimbusRomNo9L-Regu" w:cs="NimbusRomNo9L-Regu"/>
          <w:i/>
          <w:iCs/>
          <w:lang w:val="en-CA"/>
        </w:rPr>
        <w:t>:</w:t>
      </w:r>
      <w:r w:rsidR="00D53533">
        <w:rPr>
          <w:rFonts w:ascii="NimbusRomNo9L-Regu" w:hAnsi="NimbusRomNo9L-Regu" w:cs="NimbusRomNo9L-Regu"/>
          <w:lang w:val="en-CA"/>
        </w:rPr>
        <w:t xml:space="preserve"> </w:t>
      </w:r>
      <w:proofErr w:type="spellStart"/>
      <w:r w:rsidR="00D53533">
        <w:rPr>
          <w:rFonts w:ascii="NimbusRomNo9L-Regu" w:hAnsi="NimbusRomNo9L-Regu" w:cs="NimbusRomNo9L-Regu"/>
          <w:lang w:val="en-CA"/>
        </w:rPr>
        <w:t>rbf</w:t>
      </w:r>
      <w:proofErr w:type="spellEnd"/>
      <w:r w:rsidR="00D53533">
        <w:rPr>
          <w:rFonts w:ascii="NimbusRomNo9L-Regu" w:hAnsi="NimbusRomNo9L-Regu" w:cs="NimbusRomNo9L-Regu"/>
          <w:lang w:val="en-CA"/>
        </w:rPr>
        <w:t>.</w:t>
      </w:r>
    </w:p>
    <w:p w14:paraId="37527E55" w14:textId="35E04255" w:rsidR="007718B4" w:rsidRPr="004540D8" w:rsidRDefault="007718B4" w:rsidP="00FA0285">
      <w:pPr>
        <w:pStyle w:val="ListParagraph"/>
        <w:numPr>
          <w:ilvl w:val="0"/>
          <w:numId w:val="6"/>
        </w:numPr>
      </w:pPr>
      <w:r>
        <w:t xml:space="preserve">Multinomial </w:t>
      </w:r>
      <w:r>
        <w:rPr>
          <w:rFonts w:ascii="NimbusRomNo9L-Regu" w:hAnsi="NimbusRomNo9L-Regu" w:cs="NimbusRomNo9L-Regu"/>
          <w:lang w:val="en-CA"/>
        </w:rPr>
        <w:t xml:space="preserve">Naïve </w:t>
      </w:r>
      <w:r w:rsidRPr="006C3175">
        <w:rPr>
          <w:rFonts w:ascii="NimbusRomNo9L-Regu" w:hAnsi="NimbusRomNo9L-Regu" w:cs="NimbusRomNo9L-Regu"/>
          <w:lang w:val="en-CA"/>
        </w:rPr>
        <w:t>Bayes</w:t>
      </w:r>
      <w:r>
        <w:rPr>
          <w:rFonts w:ascii="NimbusRomNo9L-Regu" w:hAnsi="NimbusRomNo9L-Regu" w:cs="NimbusRomNo9L-Regu"/>
          <w:lang w:val="en-CA"/>
        </w:rPr>
        <w:t xml:space="preserve"> – the best </w:t>
      </w:r>
      <w:r>
        <w:rPr>
          <w:rFonts w:ascii="NimbusRomNo9L-Regu" w:hAnsi="NimbusRomNo9L-Regu" w:cs="NimbusRomNo9L-Regu"/>
          <w:i/>
          <w:iCs/>
          <w:lang w:val="en-CA"/>
        </w:rPr>
        <w:t xml:space="preserve">alpha, </w:t>
      </w:r>
      <w:r w:rsidRPr="00EF76EC">
        <w:rPr>
          <w:rFonts w:ascii="NimbusRomNo9L-Regu" w:hAnsi="NimbusRomNo9L-Regu" w:cs="NimbusRomNo9L-Regu"/>
          <w:i/>
          <w:iCs/>
          <w:lang w:val="en-CA"/>
        </w:rPr>
        <w:t>n-grams range, IDF usage</w:t>
      </w:r>
      <w:r>
        <w:rPr>
          <w:rFonts w:ascii="NimbusRomNo9L-Regu" w:hAnsi="NimbusRomNo9L-Regu" w:cs="NimbusRomNo9L-Regu"/>
          <w:lang w:val="en-CA"/>
        </w:rPr>
        <w:t xml:space="preserve"> and</w:t>
      </w:r>
      <w:r w:rsidRPr="00EF76EC">
        <w:rPr>
          <w:rFonts w:ascii="NimbusRomNo9L-Regu" w:hAnsi="NimbusRomNo9L-Regu" w:cs="NimbusRomNo9L-Regu"/>
          <w:i/>
          <w:iCs/>
          <w:lang w:val="en-CA"/>
        </w:rPr>
        <w:t xml:space="preserve"> TF-IDF normalization</w:t>
      </w:r>
      <w:r>
        <w:rPr>
          <w:rFonts w:ascii="NimbusRomNo9L-Regu" w:hAnsi="NimbusRomNo9L-Regu" w:cs="NimbusRomNo9L-Regu"/>
          <w:i/>
          <w:iCs/>
          <w:lang w:val="en-CA"/>
        </w:rPr>
        <w:t>.</w:t>
      </w:r>
      <w:r w:rsidR="00D53533">
        <w:rPr>
          <w:rFonts w:ascii="NimbusRomNo9L-Regu" w:hAnsi="NimbusRomNo9L-Regu" w:cs="NimbusRomNo9L-Regu"/>
          <w:i/>
          <w:iCs/>
          <w:lang w:val="en-CA"/>
        </w:rPr>
        <w:t xml:space="preserve"> </w:t>
      </w:r>
      <w:r w:rsidR="00D53533">
        <w:rPr>
          <w:rFonts w:ascii="NimbusRomNo9L-Regu" w:hAnsi="NimbusRomNo9L-Regu" w:cs="NimbusRomNo9L-Regu"/>
          <w:lang w:val="en-CA"/>
        </w:rPr>
        <w:t xml:space="preserve">The parameters were tuned to </w:t>
      </w:r>
      <w:proofErr w:type="spellStart"/>
      <w:r w:rsidR="00D53533" w:rsidRPr="00D53533">
        <w:rPr>
          <w:rFonts w:ascii="NimbusRomNo9L-Regu" w:hAnsi="NimbusRomNo9L-Regu" w:cs="NimbusRomNo9L-Regu"/>
          <w:i/>
          <w:iCs/>
          <w:lang w:val="en-CA"/>
        </w:rPr>
        <w:t>clf</w:t>
      </w:r>
      <w:proofErr w:type="spellEnd"/>
      <w:r w:rsidR="00D53533" w:rsidRPr="00D53533">
        <w:rPr>
          <w:rFonts w:ascii="NimbusRomNo9L-Regu" w:hAnsi="NimbusRomNo9L-Regu" w:cs="NimbusRomNo9L-Regu"/>
          <w:i/>
          <w:iCs/>
          <w:lang w:val="en-CA"/>
        </w:rPr>
        <w:t xml:space="preserve">__alpha: </w:t>
      </w:r>
      <w:r w:rsidR="00D53533" w:rsidRPr="00D53533">
        <w:rPr>
          <w:rFonts w:ascii="NimbusRomNo9L-Regu" w:hAnsi="NimbusRomNo9L-Regu" w:cs="NimbusRomNo9L-Regu"/>
          <w:lang w:val="en-CA"/>
        </w:rPr>
        <w:t>1</w:t>
      </w:r>
      <w:r w:rsidR="00D53533" w:rsidRPr="00D53533">
        <w:rPr>
          <w:rFonts w:ascii="NimbusRomNo9L-Regu" w:hAnsi="NimbusRomNo9L-Regu" w:cs="NimbusRomNo9L-Regu"/>
          <w:i/>
          <w:iCs/>
          <w:lang w:val="en-CA"/>
        </w:rPr>
        <w:t xml:space="preserve">, </w:t>
      </w:r>
      <w:proofErr w:type="spellStart"/>
      <w:r w:rsidR="00D53533" w:rsidRPr="00D53533">
        <w:rPr>
          <w:rFonts w:ascii="NimbusRomNo9L-Regu" w:hAnsi="NimbusRomNo9L-Regu" w:cs="NimbusRomNo9L-Regu"/>
          <w:i/>
          <w:iCs/>
          <w:lang w:val="en-CA"/>
        </w:rPr>
        <w:t>tfidf</w:t>
      </w:r>
      <w:proofErr w:type="spellEnd"/>
      <w:r w:rsidR="00D53533" w:rsidRPr="00D53533">
        <w:rPr>
          <w:rFonts w:ascii="NimbusRomNo9L-Regu" w:hAnsi="NimbusRomNo9L-Regu" w:cs="NimbusRomNo9L-Regu"/>
          <w:i/>
          <w:iCs/>
          <w:lang w:val="en-CA"/>
        </w:rPr>
        <w:t xml:space="preserve">__norm: </w:t>
      </w:r>
      <w:r w:rsidR="00D53533">
        <w:rPr>
          <w:rFonts w:ascii="NimbusRomNo9L-Regu" w:hAnsi="NimbusRomNo9L-Regu" w:cs="NimbusRomNo9L-Regu"/>
          <w:lang w:val="en-CA"/>
        </w:rPr>
        <w:t>1</w:t>
      </w:r>
      <w:r w:rsidR="00D53533" w:rsidRPr="00D53533">
        <w:rPr>
          <w:rFonts w:ascii="NimbusRomNo9L-Regu" w:hAnsi="NimbusRomNo9L-Regu" w:cs="NimbusRomNo9L-Regu"/>
          <w:lang w:val="en-CA"/>
        </w:rPr>
        <w:t>2</w:t>
      </w:r>
      <w:r w:rsidR="00D53533" w:rsidRPr="00D53533">
        <w:rPr>
          <w:rFonts w:ascii="NimbusRomNo9L-Regu" w:hAnsi="NimbusRomNo9L-Regu" w:cs="NimbusRomNo9L-Regu"/>
          <w:i/>
          <w:iCs/>
          <w:lang w:val="en-CA"/>
        </w:rPr>
        <w:t xml:space="preserve">, </w:t>
      </w:r>
      <w:proofErr w:type="spellStart"/>
      <w:r w:rsidR="00D53533" w:rsidRPr="00D53533">
        <w:rPr>
          <w:rFonts w:ascii="NimbusRomNo9L-Regu" w:hAnsi="NimbusRomNo9L-Regu" w:cs="NimbusRomNo9L-Regu"/>
          <w:i/>
          <w:iCs/>
          <w:lang w:val="en-CA"/>
        </w:rPr>
        <w:t>tfidf</w:t>
      </w:r>
      <w:proofErr w:type="spellEnd"/>
      <w:r w:rsidR="00D53533" w:rsidRPr="00D53533">
        <w:rPr>
          <w:rFonts w:ascii="NimbusRomNo9L-Regu" w:hAnsi="NimbusRomNo9L-Regu" w:cs="NimbusRomNo9L-Regu"/>
          <w:i/>
          <w:iCs/>
          <w:lang w:val="en-CA"/>
        </w:rPr>
        <w:t>__</w:t>
      </w:r>
      <w:proofErr w:type="spellStart"/>
      <w:r w:rsidR="00D53533" w:rsidRPr="00D53533">
        <w:rPr>
          <w:rFonts w:ascii="NimbusRomNo9L-Regu" w:hAnsi="NimbusRomNo9L-Regu" w:cs="NimbusRomNo9L-Regu"/>
          <w:i/>
          <w:iCs/>
          <w:lang w:val="en-CA"/>
        </w:rPr>
        <w:t>use_idf</w:t>
      </w:r>
      <w:proofErr w:type="spellEnd"/>
      <w:r w:rsidR="00D53533" w:rsidRPr="00D53533">
        <w:rPr>
          <w:rFonts w:ascii="NimbusRomNo9L-Regu" w:hAnsi="NimbusRomNo9L-Regu" w:cs="NimbusRomNo9L-Regu"/>
          <w:i/>
          <w:iCs/>
          <w:lang w:val="en-CA"/>
        </w:rPr>
        <w:t xml:space="preserve">: </w:t>
      </w:r>
      <w:r w:rsidR="00D53533" w:rsidRPr="00D53533">
        <w:rPr>
          <w:rFonts w:ascii="NimbusRomNo9L-Regu" w:hAnsi="NimbusRomNo9L-Regu" w:cs="NimbusRomNo9L-Regu"/>
          <w:lang w:val="en-CA"/>
        </w:rPr>
        <w:t>False</w:t>
      </w:r>
      <w:r w:rsidR="00D53533">
        <w:rPr>
          <w:rFonts w:ascii="NimbusRomNo9L-Regu" w:hAnsi="NimbusRomNo9L-Regu" w:cs="NimbusRomNo9L-Regu"/>
          <w:lang w:val="en-CA"/>
        </w:rPr>
        <w:t>, and</w:t>
      </w:r>
      <w:r w:rsidR="00D53533" w:rsidRPr="00D53533">
        <w:rPr>
          <w:rFonts w:ascii="NimbusRomNo9L-Regu" w:hAnsi="NimbusRomNo9L-Regu" w:cs="NimbusRomNo9L-Regu"/>
          <w:i/>
          <w:iCs/>
          <w:lang w:val="en-CA"/>
        </w:rPr>
        <w:t xml:space="preserve"> </w:t>
      </w:r>
      <w:proofErr w:type="spellStart"/>
      <w:r w:rsidR="00D53533" w:rsidRPr="00D53533">
        <w:rPr>
          <w:rFonts w:ascii="NimbusRomNo9L-Regu" w:hAnsi="NimbusRomNo9L-Regu" w:cs="NimbusRomNo9L-Regu"/>
          <w:i/>
          <w:iCs/>
          <w:lang w:val="en-CA"/>
        </w:rPr>
        <w:t>vect</w:t>
      </w:r>
      <w:proofErr w:type="spellEnd"/>
      <w:r w:rsidR="00D53533" w:rsidRPr="00D53533">
        <w:rPr>
          <w:rFonts w:ascii="NimbusRomNo9L-Regu" w:hAnsi="NimbusRomNo9L-Regu" w:cs="NimbusRomNo9L-Regu"/>
          <w:i/>
          <w:iCs/>
          <w:lang w:val="en-CA"/>
        </w:rPr>
        <w:t>__</w:t>
      </w:r>
      <w:proofErr w:type="spellStart"/>
      <w:r w:rsidR="00D53533" w:rsidRPr="00D53533">
        <w:rPr>
          <w:rFonts w:ascii="NimbusRomNo9L-Regu" w:hAnsi="NimbusRomNo9L-Regu" w:cs="NimbusRomNo9L-Regu"/>
          <w:i/>
          <w:iCs/>
          <w:lang w:val="en-CA"/>
        </w:rPr>
        <w:t>ngram_range</w:t>
      </w:r>
      <w:proofErr w:type="spellEnd"/>
      <w:r w:rsidR="00D53533" w:rsidRPr="00D53533">
        <w:rPr>
          <w:rFonts w:ascii="NimbusRomNo9L-Regu" w:hAnsi="NimbusRomNo9L-Regu" w:cs="NimbusRomNo9L-Regu"/>
          <w:i/>
          <w:iCs/>
          <w:lang w:val="en-CA"/>
        </w:rPr>
        <w:t xml:space="preserve">: </w:t>
      </w:r>
      <w:r w:rsidR="00D53533" w:rsidRPr="00D53533">
        <w:rPr>
          <w:rFonts w:ascii="NimbusRomNo9L-Regu" w:hAnsi="NimbusRomNo9L-Regu" w:cs="NimbusRomNo9L-Regu"/>
          <w:lang w:val="en-CA"/>
        </w:rPr>
        <w:t>(1, 2)</w:t>
      </w:r>
      <w:r w:rsidR="00D53533">
        <w:rPr>
          <w:rFonts w:ascii="NimbusRomNo9L-Regu" w:hAnsi="NimbusRomNo9L-Regu" w:cs="NimbusRomNo9L-Regu"/>
          <w:lang w:val="en-CA"/>
        </w:rPr>
        <w:t>.</w:t>
      </w:r>
    </w:p>
    <w:p w14:paraId="6CEBC3AC" w14:textId="6566D534" w:rsidR="004540D8" w:rsidRPr="007718B4" w:rsidRDefault="004540D8" w:rsidP="00FA0285">
      <w:pPr>
        <w:pStyle w:val="ListParagraph"/>
        <w:numPr>
          <w:ilvl w:val="0"/>
          <w:numId w:val="6"/>
        </w:numPr>
      </w:pPr>
      <w:r>
        <w:rPr>
          <w:rFonts w:ascii="NimbusRomNo9L-Regu" w:hAnsi="NimbusRomNo9L-Regu" w:cs="NimbusRomNo9L-Regu"/>
          <w:lang w:val="en-CA"/>
        </w:rPr>
        <w:t xml:space="preserve">Logistic Regression – the best </w:t>
      </w:r>
      <w:r w:rsidR="00EF76EC">
        <w:rPr>
          <w:rFonts w:ascii="NimbusRomNo9L-Regu" w:hAnsi="NimbusRomNo9L-Regu" w:cs="NimbusRomNo9L-Regu"/>
          <w:i/>
          <w:iCs/>
          <w:lang w:val="en-CA"/>
        </w:rPr>
        <w:t xml:space="preserve">C </w:t>
      </w:r>
      <w:r w:rsidR="00EF76EC">
        <w:rPr>
          <w:rFonts w:ascii="NimbusRomNo9L-Regu" w:hAnsi="NimbusRomNo9L-Regu" w:cs="NimbusRomNo9L-Regu"/>
          <w:lang w:val="en-CA"/>
        </w:rPr>
        <w:t xml:space="preserve">and </w:t>
      </w:r>
      <w:r w:rsidR="00EF76EC">
        <w:rPr>
          <w:rFonts w:ascii="NimbusRomNo9L-Regu" w:hAnsi="NimbusRomNo9L-Regu" w:cs="NimbusRomNo9L-Regu"/>
          <w:i/>
          <w:iCs/>
          <w:lang w:val="en-CA"/>
        </w:rPr>
        <w:t xml:space="preserve">penalty. </w:t>
      </w:r>
      <w:r w:rsidR="00D53533">
        <w:rPr>
          <w:rFonts w:ascii="NimbusRomNo9L-Regu" w:hAnsi="NimbusRomNo9L-Regu" w:cs="NimbusRomNo9L-Regu"/>
          <w:lang w:val="en-CA"/>
        </w:rPr>
        <w:t xml:space="preserve">The parameters were tuned to </w:t>
      </w:r>
      <w:r w:rsidR="00D53533">
        <w:rPr>
          <w:rFonts w:ascii="NimbusRomNo9L-Regu" w:hAnsi="NimbusRomNo9L-Regu" w:cs="NimbusRomNo9L-Regu"/>
          <w:i/>
          <w:iCs/>
          <w:lang w:val="en-CA"/>
        </w:rPr>
        <w:t>c</w:t>
      </w:r>
      <w:r w:rsidR="00D53533">
        <w:rPr>
          <w:rFonts w:ascii="NimbusRomNo9L-Regu" w:hAnsi="NimbusRomNo9L-Regu" w:cs="NimbusRomNo9L-Regu"/>
          <w:lang w:val="en-CA"/>
        </w:rPr>
        <w:t>:</w:t>
      </w:r>
      <w:r w:rsidR="00D53533" w:rsidRPr="00D53533">
        <w:rPr>
          <w:rFonts w:ascii="NimbusRomNo9L-Regu" w:hAnsi="NimbusRomNo9L-Regu" w:cs="NimbusRomNo9L-Regu"/>
          <w:lang w:val="en-CA"/>
        </w:rPr>
        <w:t>1</w:t>
      </w:r>
      <w:r w:rsidR="00D53533">
        <w:rPr>
          <w:rFonts w:ascii="NimbusRomNo9L-Regu" w:hAnsi="NimbusRomNo9L-Regu" w:cs="NimbusRomNo9L-Regu"/>
          <w:lang w:val="en-CA"/>
        </w:rPr>
        <w:t xml:space="preserve"> and </w:t>
      </w:r>
      <w:r w:rsidR="00D53533">
        <w:rPr>
          <w:rFonts w:ascii="NimbusRomNo9L-Regu" w:hAnsi="NimbusRomNo9L-Regu" w:cs="NimbusRomNo9L-Regu"/>
          <w:i/>
          <w:iCs/>
          <w:lang w:val="en-CA"/>
        </w:rPr>
        <w:t>penalty</w:t>
      </w:r>
      <w:r w:rsidR="00D53533">
        <w:rPr>
          <w:rFonts w:ascii="NimbusRomNo9L-Regu" w:hAnsi="NimbusRomNo9L-Regu" w:cs="NimbusRomNo9L-Regu"/>
          <w:lang w:val="en-CA"/>
        </w:rPr>
        <w:t>: 12.</w:t>
      </w:r>
    </w:p>
    <w:p w14:paraId="78AAA76E" w14:textId="40129833" w:rsidR="007718B4" w:rsidRDefault="007718B4" w:rsidP="007718B4">
      <w:r>
        <w:t>For the Random Forest classifier, as random forest is already very good at classification (</w:t>
      </w:r>
      <w:proofErr w:type="spellStart"/>
      <w:r>
        <w:t>Meinert</w:t>
      </w:r>
      <w:proofErr w:type="spellEnd"/>
      <w:r>
        <w:t>, 2019</w:t>
      </w:r>
      <w:r w:rsidR="00602722">
        <w:t>, June 5</w:t>
      </w:r>
      <w:r>
        <w:t xml:space="preserve">) and exhaustive grid searches are time consuming, it was decided to keep the default parameter settings. </w:t>
      </w:r>
    </w:p>
    <w:p w14:paraId="0C34CD75" w14:textId="2A1C660E" w:rsidR="00683C00" w:rsidRDefault="00683C00" w:rsidP="00683C00">
      <w:pPr>
        <w:pStyle w:val="Heading2"/>
      </w:pPr>
      <w:r>
        <w:t>Step 7: Prediction</w:t>
      </w:r>
    </w:p>
    <w:p w14:paraId="7ED489A7" w14:textId="0373CB5A" w:rsidR="00683C00" w:rsidRDefault="00C009BC" w:rsidP="00683C00">
      <w:r>
        <w:t>The</w:t>
      </w:r>
      <w:r w:rsidR="00FA0285">
        <w:t xml:space="preserve"> trained</w:t>
      </w:r>
      <w:r>
        <w:t xml:space="preserve"> model </w:t>
      </w:r>
      <w:r w:rsidR="00CC47DC">
        <w:t xml:space="preserve">was </w:t>
      </w:r>
      <w:r>
        <w:t xml:space="preserve">applied to </w:t>
      </w:r>
      <w:r w:rsidR="00CC47DC">
        <w:t xml:space="preserve">each of the Toronto, Montreal and Vancouver twitter </w:t>
      </w:r>
      <w:r>
        <w:t>data set</w:t>
      </w:r>
      <w:r w:rsidR="00CC47DC">
        <w:t>s</w:t>
      </w:r>
      <w:r>
        <w:t xml:space="preserve"> to </w:t>
      </w:r>
      <w:r w:rsidRPr="00C009BC">
        <w:t>generate predicted tags</w:t>
      </w:r>
      <w:r>
        <w:t>.</w:t>
      </w:r>
    </w:p>
    <w:p w14:paraId="3C2D519A" w14:textId="54E947C8" w:rsidR="00750FE4" w:rsidRDefault="00750FE4" w:rsidP="00F3038B">
      <w:pPr>
        <w:pStyle w:val="Heading1"/>
      </w:pPr>
      <w:r>
        <w:t>Results</w:t>
      </w:r>
    </w:p>
    <w:p w14:paraId="1473ADAF" w14:textId="24B2A0DC" w:rsidR="00F3038B" w:rsidRDefault="00C5694C" w:rsidP="00F3038B">
      <w:pPr>
        <w:spacing w:after="0"/>
      </w:pPr>
      <w:r>
        <w:t xml:space="preserve">Figures 3 &amp; 4 compare the performance of Ankit’s (2018) ensemble classifier to the base classifiers listed in </w:t>
      </w:r>
      <w:hyperlink w:anchor="_Step_4:_Model" w:history="1">
        <w:r w:rsidRPr="00C5694C">
          <w:rPr>
            <w:rStyle w:val="Hyperlink"/>
          </w:rPr>
          <w:t>Step 4: Model Training and Testing</w:t>
        </w:r>
      </w:hyperlink>
      <w:r>
        <w:t>.</w:t>
      </w:r>
    </w:p>
    <w:p w14:paraId="6E1AB0F1" w14:textId="77777777" w:rsidR="00C5694C" w:rsidRPr="00F3038B" w:rsidRDefault="00C5694C" w:rsidP="00F3038B">
      <w:pPr>
        <w:spacing w:after="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114"/>
        <w:gridCol w:w="1559"/>
        <w:gridCol w:w="1559"/>
        <w:gridCol w:w="1559"/>
        <w:gridCol w:w="1559"/>
      </w:tblGrid>
      <w:tr w:rsidR="00D7217B" w14:paraId="6B363F81" w14:textId="77777777" w:rsidTr="00E06738">
        <w:trPr>
          <w:trHeight w:val="397"/>
        </w:trPr>
        <w:tc>
          <w:tcPr>
            <w:tcW w:w="3114" w:type="dxa"/>
            <w:tcBorders>
              <w:bottom w:val="single" w:sz="4" w:space="0" w:color="auto"/>
              <w:right w:val="nil"/>
            </w:tcBorders>
            <w:vAlign w:val="center"/>
          </w:tcPr>
          <w:p w14:paraId="6F651459" w14:textId="3BAE4443" w:rsidR="00D7217B" w:rsidRDefault="00D7217B" w:rsidP="00E06738">
            <w:r>
              <w:t>Techniques</w:t>
            </w:r>
          </w:p>
        </w:tc>
        <w:tc>
          <w:tcPr>
            <w:tcW w:w="1559" w:type="dxa"/>
            <w:tcBorders>
              <w:left w:val="nil"/>
              <w:bottom w:val="single" w:sz="4" w:space="0" w:color="auto"/>
              <w:right w:val="nil"/>
            </w:tcBorders>
            <w:vAlign w:val="center"/>
          </w:tcPr>
          <w:p w14:paraId="13CA7B38" w14:textId="54335A7E" w:rsidR="00D7217B" w:rsidRDefault="00D7217B" w:rsidP="00E06738">
            <w:pPr>
              <w:jc w:val="center"/>
            </w:pPr>
            <w:r>
              <w:t>Accuracy (%)</w:t>
            </w:r>
          </w:p>
        </w:tc>
        <w:tc>
          <w:tcPr>
            <w:tcW w:w="1559" w:type="dxa"/>
            <w:tcBorders>
              <w:left w:val="nil"/>
              <w:bottom w:val="single" w:sz="4" w:space="0" w:color="auto"/>
              <w:right w:val="nil"/>
            </w:tcBorders>
            <w:vAlign w:val="center"/>
          </w:tcPr>
          <w:p w14:paraId="59E5C193" w14:textId="5123648C" w:rsidR="00D7217B" w:rsidRDefault="00D7217B" w:rsidP="00E06738">
            <w:pPr>
              <w:jc w:val="center"/>
            </w:pPr>
            <w:r>
              <w:t>Precision (%)</w:t>
            </w:r>
          </w:p>
        </w:tc>
        <w:tc>
          <w:tcPr>
            <w:tcW w:w="1559" w:type="dxa"/>
            <w:tcBorders>
              <w:left w:val="nil"/>
              <w:bottom w:val="single" w:sz="4" w:space="0" w:color="auto"/>
              <w:right w:val="nil"/>
            </w:tcBorders>
            <w:vAlign w:val="center"/>
          </w:tcPr>
          <w:p w14:paraId="5E400103" w14:textId="7C8A4A18" w:rsidR="00D7217B" w:rsidRDefault="00D7217B" w:rsidP="00E06738">
            <w:pPr>
              <w:jc w:val="center"/>
            </w:pPr>
            <w:r>
              <w:t>Recall (%)</w:t>
            </w:r>
          </w:p>
        </w:tc>
        <w:tc>
          <w:tcPr>
            <w:tcW w:w="1559" w:type="dxa"/>
            <w:tcBorders>
              <w:left w:val="nil"/>
              <w:bottom w:val="single" w:sz="4" w:space="0" w:color="auto"/>
            </w:tcBorders>
            <w:vAlign w:val="center"/>
          </w:tcPr>
          <w:p w14:paraId="5873BD69" w14:textId="04646643" w:rsidR="00D7217B" w:rsidRDefault="00D7217B" w:rsidP="00E06738">
            <w:pPr>
              <w:jc w:val="center"/>
            </w:pPr>
            <w:r>
              <w:t>F1 (%)</w:t>
            </w:r>
          </w:p>
        </w:tc>
      </w:tr>
      <w:tr w:rsidR="00D7217B" w14:paraId="246A074F" w14:textId="77777777" w:rsidTr="00E06738">
        <w:trPr>
          <w:trHeight w:val="397"/>
        </w:trPr>
        <w:tc>
          <w:tcPr>
            <w:tcW w:w="3114" w:type="dxa"/>
            <w:tcBorders>
              <w:bottom w:val="nil"/>
              <w:right w:val="nil"/>
            </w:tcBorders>
            <w:vAlign w:val="center"/>
          </w:tcPr>
          <w:p w14:paraId="1B2F3A51" w14:textId="04AF87C3" w:rsidR="00D7217B" w:rsidRDefault="00D7217B" w:rsidP="00E06738">
            <w:r w:rsidRPr="00D7217B">
              <w:t>Multinomial Naïve Bayes</w:t>
            </w:r>
          </w:p>
        </w:tc>
        <w:tc>
          <w:tcPr>
            <w:tcW w:w="1559" w:type="dxa"/>
            <w:tcBorders>
              <w:left w:val="nil"/>
              <w:bottom w:val="nil"/>
              <w:right w:val="nil"/>
            </w:tcBorders>
            <w:vAlign w:val="center"/>
          </w:tcPr>
          <w:p w14:paraId="7DDCF20A" w14:textId="27955F0B" w:rsidR="00D7217B" w:rsidRDefault="00E06738" w:rsidP="00E06738">
            <w:pPr>
              <w:jc w:val="center"/>
            </w:pPr>
            <w:r w:rsidRPr="00E06738">
              <w:t>74</w:t>
            </w:r>
            <w:r>
              <w:t>.</w:t>
            </w:r>
            <w:r w:rsidRPr="00E06738">
              <w:t>49</w:t>
            </w:r>
          </w:p>
        </w:tc>
        <w:tc>
          <w:tcPr>
            <w:tcW w:w="1559" w:type="dxa"/>
            <w:tcBorders>
              <w:left w:val="nil"/>
              <w:bottom w:val="nil"/>
              <w:right w:val="nil"/>
            </w:tcBorders>
            <w:vAlign w:val="center"/>
          </w:tcPr>
          <w:p w14:paraId="203E67D0" w14:textId="67113C4F" w:rsidR="00D7217B" w:rsidRDefault="00E06738" w:rsidP="00E06738">
            <w:pPr>
              <w:jc w:val="center"/>
            </w:pPr>
            <w:r>
              <w:t>74.70</w:t>
            </w:r>
          </w:p>
        </w:tc>
        <w:tc>
          <w:tcPr>
            <w:tcW w:w="1559" w:type="dxa"/>
            <w:tcBorders>
              <w:left w:val="nil"/>
              <w:bottom w:val="nil"/>
              <w:right w:val="nil"/>
            </w:tcBorders>
            <w:vAlign w:val="center"/>
          </w:tcPr>
          <w:p w14:paraId="15216BE9" w14:textId="3836BEAE" w:rsidR="00D7217B" w:rsidRDefault="00E06738" w:rsidP="00E06738">
            <w:pPr>
              <w:jc w:val="center"/>
            </w:pPr>
            <w:r>
              <w:t>74.49</w:t>
            </w:r>
          </w:p>
        </w:tc>
        <w:tc>
          <w:tcPr>
            <w:tcW w:w="1559" w:type="dxa"/>
            <w:tcBorders>
              <w:left w:val="nil"/>
              <w:bottom w:val="nil"/>
            </w:tcBorders>
            <w:vAlign w:val="center"/>
          </w:tcPr>
          <w:p w14:paraId="3E3578DA" w14:textId="124B5C46" w:rsidR="00D7217B" w:rsidRDefault="00E06738" w:rsidP="00E06738">
            <w:pPr>
              <w:jc w:val="center"/>
            </w:pPr>
            <w:r>
              <w:t>74.43</w:t>
            </w:r>
          </w:p>
        </w:tc>
      </w:tr>
      <w:tr w:rsidR="00D7217B" w14:paraId="45F28155" w14:textId="77777777" w:rsidTr="00E06738">
        <w:trPr>
          <w:trHeight w:val="397"/>
        </w:trPr>
        <w:tc>
          <w:tcPr>
            <w:tcW w:w="3114" w:type="dxa"/>
            <w:tcBorders>
              <w:top w:val="nil"/>
              <w:bottom w:val="nil"/>
              <w:right w:val="nil"/>
            </w:tcBorders>
            <w:vAlign w:val="center"/>
          </w:tcPr>
          <w:p w14:paraId="12A71973" w14:textId="07238265" w:rsidR="00D7217B" w:rsidRDefault="00D7217B" w:rsidP="00E06738">
            <w:r w:rsidRPr="00D7217B">
              <w:t>Random Forest</w:t>
            </w:r>
          </w:p>
        </w:tc>
        <w:tc>
          <w:tcPr>
            <w:tcW w:w="1559" w:type="dxa"/>
            <w:tcBorders>
              <w:top w:val="nil"/>
              <w:left w:val="nil"/>
              <w:bottom w:val="nil"/>
              <w:right w:val="nil"/>
            </w:tcBorders>
            <w:vAlign w:val="center"/>
          </w:tcPr>
          <w:p w14:paraId="2F8809A6" w14:textId="531C9928" w:rsidR="00D7217B" w:rsidRDefault="00E06738" w:rsidP="00E06738">
            <w:pPr>
              <w:jc w:val="center"/>
            </w:pPr>
            <w:r w:rsidRPr="00E06738">
              <w:t>67</w:t>
            </w:r>
            <w:r>
              <w:t>.</w:t>
            </w:r>
            <w:r w:rsidRPr="00E06738">
              <w:t>86</w:t>
            </w:r>
          </w:p>
        </w:tc>
        <w:tc>
          <w:tcPr>
            <w:tcW w:w="1559" w:type="dxa"/>
            <w:tcBorders>
              <w:top w:val="nil"/>
              <w:left w:val="nil"/>
              <w:bottom w:val="nil"/>
              <w:right w:val="nil"/>
            </w:tcBorders>
            <w:vAlign w:val="center"/>
          </w:tcPr>
          <w:p w14:paraId="10E6F9FA" w14:textId="199163CE" w:rsidR="00D7217B" w:rsidRDefault="00E06738" w:rsidP="00E06738">
            <w:pPr>
              <w:jc w:val="center"/>
            </w:pPr>
            <w:r>
              <w:t>68.07</w:t>
            </w:r>
          </w:p>
        </w:tc>
        <w:tc>
          <w:tcPr>
            <w:tcW w:w="1559" w:type="dxa"/>
            <w:tcBorders>
              <w:top w:val="nil"/>
              <w:left w:val="nil"/>
              <w:bottom w:val="nil"/>
              <w:right w:val="nil"/>
            </w:tcBorders>
            <w:vAlign w:val="center"/>
          </w:tcPr>
          <w:p w14:paraId="0810A90A" w14:textId="06D996F6" w:rsidR="00D7217B" w:rsidRDefault="00E06738" w:rsidP="00E06738">
            <w:pPr>
              <w:jc w:val="center"/>
            </w:pPr>
            <w:r>
              <w:t>67.86</w:t>
            </w:r>
          </w:p>
        </w:tc>
        <w:tc>
          <w:tcPr>
            <w:tcW w:w="1559" w:type="dxa"/>
            <w:tcBorders>
              <w:top w:val="nil"/>
              <w:left w:val="nil"/>
              <w:bottom w:val="nil"/>
            </w:tcBorders>
            <w:vAlign w:val="center"/>
          </w:tcPr>
          <w:p w14:paraId="0231A779" w14:textId="6BE5F84E" w:rsidR="00D7217B" w:rsidRDefault="00E06738" w:rsidP="00E06738">
            <w:pPr>
              <w:jc w:val="center"/>
            </w:pPr>
            <w:r>
              <w:t>67.79</w:t>
            </w:r>
          </w:p>
        </w:tc>
      </w:tr>
      <w:tr w:rsidR="00D7217B" w14:paraId="5CA8751C" w14:textId="77777777" w:rsidTr="00E06738">
        <w:trPr>
          <w:trHeight w:val="397"/>
        </w:trPr>
        <w:tc>
          <w:tcPr>
            <w:tcW w:w="3114" w:type="dxa"/>
            <w:tcBorders>
              <w:top w:val="nil"/>
              <w:bottom w:val="nil"/>
              <w:right w:val="nil"/>
            </w:tcBorders>
            <w:vAlign w:val="center"/>
          </w:tcPr>
          <w:p w14:paraId="03587273" w14:textId="60354B62" w:rsidR="00D7217B" w:rsidRDefault="00D7217B" w:rsidP="00E06738">
            <w:r w:rsidRPr="00D7217B">
              <w:t>C-Support Vector Classification</w:t>
            </w:r>
          </w:p>
        </w:tc>
        <w:tc>
          <w:tcPr>
            <w:tcW w:w="1559" w:type="dxa"/>
            <w:tcBorders>
              <w:top w:val="nil"/>
              <w:left w:val="nil"/>
              <w:bottom w:val="nil"/>
              <w:right w:val="nil"/>
            </w:tcBorders>
            <w:vAlign w:val="center"/>
          </w:tcPr>
          <w:p w14:paraId="732B64B7" w14:textId="436488C3" w:rsidR="00D7217B" w:rsidRDefault="00E06738" w:rsidP="00E06738">
            <w:pPr>
              <w:jc w:val="center"/>
            </w:pPr>
            <w:r w:rsidRPr="00E06738">
              <w:t>69</w:t>
            </w:r>
            <w:r>
              <w:t>.</w:t>
            </w:r>
            <w:r w:rsidRPr="00E06738">
              <w:t>66</w:t>
            </w:r>
          </w:p>
        </w:tc>
        <w:tc>
          <w:tcPr>
            <w:tcW w:w="1559" w:type="dxa"/>
            <w:tcBorders>
              <w:top w:val="nil"/>
              <w:left w:val="nil"/>
              <w:bottom w:val="nil"/>
              <w:right w:val="nil"/>
            </w:tcBorders>
            <w:vAlign w:val="center"/>
          </w:tcPr>
          <w:p w14:paraId="62C3B07F" w14:textId="10D2E8D4" w:rsidR="00D7217B" w:rsidRDefault="00E06738" w:rsidP="00E06738">
            <w:pPr>
              <w:jc w:val="center"/>
            </w:pPr>
            <w:r>
              <w:t>69.74</w:t>
            </w:r>
          </w:p>
        </w:tc>
        <w:tc>
          <w:tcPr>
            <w:tcW w:w="1559" w:type="dxa"/>
            <w:tcBorders>
              <w:top w:val="nil"/>
              <w:left w:val="nil"/>
              <w:bottom w:val="nil"/>
              <w:right w:val="nil"/>
            </w:tcBorders>
            <w:vAlign w:val="center"/>
          </w:tcPr>
          <w:p w14:paraId="0856E742" w14:textId="06EE437E" w:rsidR="00D7217B" w:rsidRDefault="00E06738" w:rsidP="00E06738">
            <w:pPr>
              <w:jc w:val="center"/>
            </w:pPr>
            <w:r>
              <w:t>69.66</w:t>
            </w:r>
          </w:p>
        </w:tc>
        <w:tc>
          <w:tcPr>
            <w:tcW w:w="1559" w:type="dxa"/>
            <w:tcBorders>
              <w:top w:val="nil"/>
              <w:left w:val="nil"/>
              <w:bottom w:val="nil"/>
            </w:tcBorders>
            <w:vAlign w:val="center"/>
          </w:tcPr>
          <w:p w14:paraId="08F290C4" w14:textId="2BD4C6EB" w:rsidR="00D7217B" w:rsidRDefault="00E06738" w:rsidP="00E06738">
            <w:pPr>
              <w:jc w:val="center"/>
            </w:pPr>
            <w:r>
              <w:t>69.63</w:t>
            </w:r>
          </w:p>
        </w:tc>
      </w:tr>
      <w:tr w:rsidR="00D7217B" w14:paraId="3AC8B13C" w14:textId="77777777" w:rsidTr="00CC1EE1">
        <w:trPr>
          <w:trHeight w:val="397"/>
        </w:trPr>
        <w:tc>
          <w:tcPr>
            <w:tcW w:w="3114" w:type="dxa"/>
            <w:tcBorders>
              <w:top w:val="nil"/>
              <w:bottom w:val="single" w:sz="4" w:space="0" w:color="auto"/>
              <w:right w:val="nil"/>
            </w:tcBorders>
            <w:vAlign w:val="center"/>
          </w:tcPr>
          <w:p w14:paraId="45A19F12" w14:textId="3A6B9C83" w:rsidR="00D7217B" w:rsidRDefault="00D7217B" w:rsidP="00E06738">
            <w:r>
              <w:t>Logistic Regression</w:t>
            </w:r>
          </w:p>
        </w:tc>
        <w:tc>
          <w:tcPr>
            <w:tcW w:w="1559" w:type="dxa"/>
            <w:tcBorders>
              <w:top w:val="nil"/>
              <w:left w:val="nil"/>
              <w:bottom w:val="single" w:sz="4" w:space="0" w:color="auto"/>
              <w:right w:val="nil"/>
            </w:tcBorders>
            <w:vAlign w:val="center"/>
          </w:tcPr>
          <w:p w14:paraId="64603E98" w14:textId="7DF113B2" w:rsidR="00D7217B" w:rsidRDefault="00E06738" w:rsidP="00E06738">
            <w:pPr>
              <w:jc w:val="center"/>
            </w:pPr>
            <w:r w:rsidRPr="00E06738">
              <w:t>69</w:t>
            </w:r>
            <w:r>
              <w:t>.</w:t>
            </w:r>
            <w:r w:rsidRPr="00E06738">
              <w:t>91</w:t>
            </w:r>
          </w:p>
        </w:tc>
        <w:tc>
          <w:tcPr>
            <w:tcW w:w="1559" w:type="dxa"/>
            <w:tcBorders>
              <w:top w:val="nil"/>
              <w:left w:val="nil"/>
              <w:bottom w:val="single" w:sz="4" w:space="0" w:color="auto"/>
              <w:right w:val="nil"/>
            </w:tcBorders>
            <w:vAlign w:val="center"/>
          </w:tcPr>
          <w:p w14:paraId="5B4E2AE1" w14:textId="2CF6E46C" w:rsidR="00D7217B" w:rsidRDefault="00E06738" w:rsidP="00E06738">
            <w:pPr>
              <w:jc w:val="center"/>
            </w:pPr>
            <w:r>
              <w:t>70.06</w:t>
            </w:r>
          </w:p>
        </w:tc>
        <w:tc>
          <w:tcPr>
            <w:tcW w:w="1559" w:type="dxa"/>
            <w:tcBorders>
              <w:top w:val="nil"/>
              <w:left w:val="nil"/>
              <w:bottom w:val="single" w:sz="4" w:space="0" w:color="auto"/>
              <w:right w:val="nil"/>
            </w:tcBorders>
            <w:vAlign w:val="center"/>
          </w:tcPr>
          <w:p w14:paraId="60CFD586" w14:textId="4F2FA8CC" w:rsidR="00D7217B" w:rsidRDefault="00E06738" w:rsidP="00E06738">
            <w:pPr>
              <w:jc w:val="center"/>
            </w:pPr>
            <w:r>
              <w:t>69.91</w:t>
            </w:r>
          </w:p>
        </w:tc>
        <w:tc>
          <w:tcPr>
            <w:tcW w:w="1559" w:type="dxa"/>
            <w:tcBorders>
              <w:top w:val="nil"/>
              <w:left w:val="nil"/>
              <w:bottom w:val="single" w:sz="4" w:space="0" w:color="auto"/>
            </w:tcBorders>
            <w:vAlign w:val="center"/>
          </w:tcPr>
          <w:p w14:paraId="203F6314" w14:textId="622190DD" w:rsidR="00D7217B" w:rsidRDefault="00E06738" w:rsidP="00E06738">
            <w:pPr>
              <w:jc w:val="center"/>
            </w:pPr>
            <w:r>
              <w:t>69.86</w:t>
            </w:r>
          </w:p>
        </w:tc>
      </w:tr>
      <w:tr w:rsidR="00454853" w14:paraId="1F270B40" w14:textId="77777777" w:rsidTr="00CC1EE1">
        <w:trPr>
          <w:trHeight w:val="397"/>
        </w:trPr>
        <w:tc>
          <w:tcPr>
            <w:tcW w:w="3114" w:type="dxa"/>
            <w:tcBorders>
              <w:top w:val="single" w:sz="4" w:space="0" w:color="auto"/>
              <w:right w:val="nil"/>
            </w:tcBorders>
            <w:vAlign w:val="center"/>
          </w:tcPr>
          <w:p w14:paraId="404422C3" w14:textId="3857E49B" w:rsidR="00454853" w:rsidRDefault="00454853" w:rsidP="00454853">
            <w:r>
              <w:t>Ankit’s Ensemble Classifier</w:t>
            </w:r>
          </w:p>
        </w:tc>
        <w:tc>
          <w:tcPr>
            <w:tcW w:w="1559" w:type="dxa"/>
            <w:tcBorders>
              <w:top w:val="single" w:sz="4" w:space="0" w:color="auto"/>
              <w:left w:val="nil"/>
              <w:bottom w:val="single" w:sz="4" w:space="0" w:color="auto"/>
              <w:right w:val="nil"/>
            </w:tcBorders>
            <w:vAlign w:val="center"/>
          </w:tcPr>
          <w:p w14:paraId="10F6761F" w14:textId="37290FEC" w:rsidR="00454853" w:rsidRPr="00454853" w:rsidRDefault="00454853" w:rsidP="00454853">
            <w:pPr>
              <w:jc w:val="center"/>
              <w:rPr>
                <w:b/>
                <w:bCs/>
              </w:rPr>
            </w:pPr>
            <w:r>
              <w:rPr>
                <w:rFonts w:ascii="Calibri" w:hAnsi="Calibri" w:cs="Calibri"/>
                <w:color w:val="000000"/>
              </w:rPr>
              <w:t>82.29</w:t>
            </w:r>
          </w:p>
        </w:tc>
        <w:tc>
          <w:tcPr>
            <w:tcW w:w="1559" w:type="dxa"/>
            <w:tcBorders>
              <w:top w:val="single" w:sz="4" w:space="0" w:color="auto"/>
              <w:left w:val="nil"/>
              <w:bottom w:val="single" w:sz="4" w:space="0" w:color="auto"/>
              <w:right w:val="nil"/>
            </w:tcBorders>
            <w:vAlign w:val="center"/>
          </w:tcPr>
          <w:p w14:paraId="5A1E5096" w14:textId="3D54A807" w:rsidR="00454853" w:rsidRPr="00454853" w:rsidRDefault="00454853" w:rsidP="00454853">
            <w:pPr>
              <w:jc w:val="center"/>
              <w:rPr>
                <w:b/>
                <w:bCs/>
              </w:rPr>
            </w:pPr>
            <w:r>
              <w:rPr>
                <w:rFonts w:ascii="Calibri" w:hAnsi="Calibri" w:cs="Calibri"/>
                <w:color w:val="000000"/>
              </w:rPr>
              <w:t>82.06</w:t>
            </w:r>
          </w:p>
        </w:tc>
        <w:tc>
          <w:tcPr>
            <w:tcW w:w="1559" w:type="dxa"/>
            <w:tcBorders>
              <w:top w:val="single" w:sz="4" w:space="0" w:color="auto"/>
              <w:left w:val="nil"/>
              <w:bottom w:val="single" w:sz="4" w:space="0" w:color="auto"/>
              <w:right w:val="nil"/>
            </w:tcBorders>
            <w:vAlign w:val="center"/>
          </w:tcPr>
          <w:p w14:paraId="580675B7" w14:textId="73BEDF78" w:rsidR="00454853" w:rsidRPr="00454853" w:rsidRDefault="00454853" w:rsidP="00454853">
            <w:pPr>
              <w:jc w:val="center"/>
              <w:rPr>
                <w:b/>
                <w:bCs/>
              </w:rPr>
            </w:pPr>
            <w:r>
              <w:rPr>
                <w:rFonts w:ascii="Calibri" w:hAnsi="Calibri" w:cs="Calibri"/>
                <w:color w:val="000000"/>
              </w:rPr>
              <w:t>82.26</w:t>
            </w:r>
          </w:p>
        </w:tc>
        <w:tc>
          <w:tcPr>
            <w:tcW w:w="1559" w:type="dxa"/>
            <w:tcBorders>
              <w:top w:val="single" w:sz="4" w:space="0" w:color="auto"/>
              <w:left w:val="nil"/>
              <w:bottom w:val="single" w:sz="4" w:space="0" w:color="auto"/>
            </w:tcBorders>
            <w:vAlign w:val="center"/>
          </w:tcPr>
          <w:p w14:paraId="0ADEC48D" w14:textId="7C8FF102" w:rsidR="00454853" w:rsidRPr="00454853" w:rsidRDefault="00454853" w:rsidP="00454853">
            <w:pPr>
              <w:keepNext/>
              <w:jc w:val="center"/>
              <w:rPr>
                <w:b/>
                <w:bCs/>
              </w:rPr>
            </w:pPr>
            <w:r>
              <w:rPr>
                <w:rFonts w:ascii="Calibri" w:hAnsi="Calibri" w:cs="Calibri"/>
                <w:color w:val="000000"/>
              </w:rPr>
              <w:t>82.16</w:t>
            </w:r>
          </w:p>
        </w:tc>
      </w:tr>
    </w:tbl>
    <w:p w14:paraId="7A14FE84" w14:textId="66BFD9A1" w:rsidR="00D7217B" w:rsidRDefault="00D54877" w:rsidP="00D54877">
      <w:pPr>
        <w:pStyle w:val="Caption"/>
        <w:spacing w:before="120"/>
      </w:pPr>
      <w:r>
        <w:t xml:space="preserve">Figure </w:t>
      </w:r>
      <w:r>
        <w:fldChar w:fldCharType="begin"/>
      </w:r>
      <w:r>
        <w:instrText xml:space="preserve"> SEQ Figure \* ARABIC </w:instrText>
      </w:r>
      <w:r>
        <w:fldChar w:fldCharType="separate"/>
      </w:r>
      <w:r w:rsidR="006A4DEF">
        <w:rPr>
          <w:noProof/>
        </w:rPr>
        <w:t>3</w:t>
      </w:r>
      <w:r>
        <w:fldChar w:fldCharType="end"/>
      </w:r>
      <w:r>
        <w:t xml:space="preserve">. </w:t>
      </w:r>
      <w:r w:rsidRPr="00AA3CC9">
        <w:rPr>
          <w:i w:val="0"/>
          <w:iCs w:val="0"/>
        </w:rPr>
        <w:t>Cross</w:t>
      </w:r>
      <w:r>
        <w:rPr>
          <w:i w:val="0"/>
          <w:iCs w:val="0"/>
        </w:rPr>
        <w:t xml:space="preserve"> </w:t>
      </w:r>
      <w:r w:rsidRPr="00AA3CC9">
        <w:rPr>
          <w:i w:val="0"/>
          <w:iCs w:val="0"/>
        </w:rPr>
        <w:t>comparison</w:t>
      </w:r>
      <w:r>
        <w:rPr>
          <w:i w:val="0"/>
          <w:iCs w:val="0"/>
        </w:rPr>
        <w:t xml:space="preserve"> </w:t>
      </w:r>
      <w:r w:rsidRPr="00AA3CC9">
        <w:rPr>
          <w:i w:val="0"/>
          <w:iCs w:val="0"/>
        </w:rPr>
        <w:t>of</w:t>
      </w:r>
      <w:r>
        <w:rPr>
          <w:i w:val="0"/>
          <w:iCs w:val="0"/>
        </w:rPr>
        <w:t xml:space="preserve"> </w:t>
      </w:r>
      <w:r w:rsidRPr="00AA3CC9">
        <w:rPr>
          <w:i w:val="0"/>
          <w:iCs w:val="0"/>
        </w:rPr>
        <w:t>the</w:t>
      </w:r>
      <w:r>
        <w:rPr>
          <w:i w:val="0"/>
          <w:iCs w:val="0"/>
        </w:rPr>
        <w:t xml:space="preserve"> </w:t>
      </w:r>
      <w:r w:rsidRPr="00AA3CC9">
        <w:rPr>
          <w:i w:val="0"/>
          <w:iCs w:val="0"/>
        </w:rPr>
        <w:t>results</w:t>
      </w:r>
      <w:r>
        <w:rPr>
          <w:i w:val="0"/>
          <w:iCs w:val="0"/>
        </w:rPr>
        <w:t xml:space="preserve"> </w:t>
      </w:r>
      <w:r w:rsidRPr="00AA3CC9">
        <w:rPr>
          <w:i w:val="0"/>
          <w:iCs w:val="0"/>
        </w:rPr>
        <w:t>obtained</w:t>
      </w:r>
      <w:r>
        <w:rPr>
          <w:i w:val="0"/>
          <w:iCs w:val="0"/>
        </w:rPr>
        <w:t xml:space="preserve"> </w:t>
      </w:r>
      <w:r w:rsidRPr="00AA3CC9">
        <w:rPr>
          <w:i w:val="0"/>
          <w:iCs w:val="0"/>
        </w:rPr>
        <w:t>from</w:t>
      </w:r>
      <w:r>
        <w:rPr>
          <w:i w:val="0"/>
          <w:iCs w:val="0"/>
        </w:rPr>
        <w:t xml:space="preserve"> </w:t>
      </w:r>
      <w:r w:rsidRPr="00AA3CC9">
        <w:rPr>
          <w:i w:val="0"/>
          <w:iCs w:val="0"/>
        </w:rPr>
        <w:t>base</w:t>
      </w:r>
      <w:r>
        <w:rPr>
          <w:i w:val="0"/>
          <w:iCs w:val="0"/>
        </w:rPr>
        <w:t xml:space="preserve"> </w:t>
      </w:r>
      <w:r w:rsidRPr="00AA3CC9">
        <w:rPr>
          <w:i w:val="0"/>
          <w:iCs w:val="0"/>
        </w:rPr>
        <w:t>classifiers</w:t>
      </w:r>
      <w:r>
        <w:rPr>
          <w:i w:val="0"/>
          <w:iCs w:val="0"/>
        </w:rPr>
        <w:t xml:space="preserve"> </w:t>
      </w:r>
      <w:r w:rsidRPr="00AA3CC9">
        <w:rPr>
          <w:i w:val="0"/>
          <w:iCs w:val="0"/>
        </w:rPr>
        <w:t>and</w:t>
      </w:r>
      <w:r>
        <w:rPr>
          <w:i w:val="0"/>
          <w:iCs w:val="0"/>
        </w:rPr>
        <w:t xml:space="preserve"> Ankit's (2018) </w:t>
      </w:r>
      <w:r w:rsidRPr="00AA3CC9">
        <w:rPr>
          <w:i w:val="0"/>
          <w:iCs w:val="0"/>
        </w:rPr>
        <w:t>ensemble classifier</w:t>
      </w:r>
      <w:r>
        <w:rPr>
          <w:i w:val="0"/>
          <w:iCs w:val="0"/>
        </w:rPr>
        <w:t>.</w:t>
      </w:r>
      <w:bookmarkStart w:id="3" w:name="_GoBack"/>
      <w:bookmarkEnd w:id="3"/>
    </w:p>
    <w:p w14:paraId="4C2B7A8F" w14:textId="77777777" w:rsidR="006A4DEF" w:rsidRDefault="006A4DEF" w:rsidP="006A4DEF">
      <w:pPr>
        <w:keepNext/>
        <w:spacing w:after="0"/>
      </w:pPr>
      <w:r>
        <w:rPr>
          <w:noProof/>
        </w:rPr>
        <w:lastRenderedPageBreak/>
        <w:drawing>
          <wp:inline distT="0" distB="0" distL="0" distR="0" wp14:anchorId="4BCB6AB7" wp14:editId="22638BA0">
            <wp:extent cx="5486400" cy="2979420"/>
            <wp:effectExtent l="0" t="0" r="0" b="0"/>
            <wp:docPr id="6" name="Chart 6">
              <a:extLst xmlns:a="http://schemas.openxmlformats.org/drawingml/2006/main">
                <a:ext uri="{FF2B5EF4-FFF2-40B4-BE49-F238E27FC236}">
                  <a16:creationId xmlns:a16="http://schemas.microsoft.com/office/drawing/2014/main" id="{5CFA2590-A7FF-4DA7-BFF3-F88984FD2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2C43F1" w14:textId="0816B6BF" w:rsidR="007D6247" w:rsidRDefault="006A4DEF" w:rsidP="006A4DE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i w:val="0"/>
          <w:iCs w:val="0"/>
        </w:rPr>
        <w:t>Comparison of the base classifier and ensemble classifier evaluations.</w:t>
      </w:r>
    </w:p>
    <w:p w14:paraId="55F8913F" w14:textId="7DDD452A" w:rsidR="00C5694C" w:rsidRDefault="00C5694C" w:rsidP="00F005BD">
      <w:r>
        <w:t xml:space="preserve">The results show that the proposed ensemble classifier, when run on </w:t>
      </w:r>
      <w:r w:rsidR="006A4DEF">
        <w:t>10</w:t>
      </w:r>
      <w:r w:rsidR="00D53533">
        <w:t xml:space="preserve">, 000 of </w:t>
      </w:r>
      <w:r>
        <w:t xml:space="preserve">the </w:t>
      </w:r>
      <w:r w:rsidR="00316EEE">
        <w:t xml:space="preserve">extracted </w:t>
      </w:r>
      <w:r>
        <w:t>Stanford Sentiment 140 corpus tweets</w:t>
      </w:r>
      <w:r w:rsidR="00316EEE">
        <w:t>,</w:t>
      </w:r>
      <w:r>
        <w:t xml:space="preserve"> performed more accurately, with better precision, recall and </w:t>
      </w:r>
      <w:r w:rsidR="00316EEE">
        <w:t xml:space="preserve">F1 scores than any of the base classifiers. </w:t>
      </w:r>
    </w:p>
    <w:tbl>
      <w:tblPr>
        <w:tblStyle w:val="TableGrid"/>
        <w:tblW w:w="0" w:type="auto"/>
        <w:tblLook w:val="04A0" w:firstRow="1" w:lastRow="0" w:firstColumn="1" w:lastColumn="0" w:noHBand="0" w:noVBand="1"/>
      </w:tblPr>
      <w:tblGrid>
        <w:gridCol w:w="1271"/>
        <w:gridCol w:w="2126"/>
        <w:gridCol w:w="2268"/>
      </w:tblGrid>
      <w:tr w:rsidR="007D6247" w14:paraId="462740C5" w14:textId="77777777" w:rsidTr="007D6247">
        <w:tc>
          <w:tcPr>
            <w:tcW w:w="1271" w:type="dxa"/>
            <w:tcBorders>
              <w:left w:val="nil"/>
              <w:bottom w:val="single" w:sz="4" w:space="0" w:color="auto"/>
              <w:right w:val="nil"/>
            </w:tcBorders>
          </w:tcPr>
          <w:p w14:paraId="25366434" w14:textId="0E73D782" w:rsidR="007D6247" w:rsidRDefault="007D6247" w:rsidP="00750FE4">
            <w:r>
              <w:t>City</w:t>
            </w:r>
          </w:p>
        </w:tc>
        <w:tc>
          <w:tcPr>
            <w:tcW w:w="2126" w:type="dxa"/>
            <w:tcBorders>
              <w:left w:val="nil"/>
              <w:bottom w:val="single" w:sz="4" w:space="0" w:color="auto"/>
              <w:right w:val="nil"/>
            </w:tcBorders>
          </w:tcPr>
          <w:p w14:paraId="32AEEF4B" w14:textId="6220B856" w:rsidR="007D6247" w:rsidRDefault="007D6247" w:rsidP="007D6247">
            <w:pPr>
              <w:jc w:val="center"/>
            </w:pPr>
            <w:r>
              <w:t>Positive Tweets (#)</w:t>
            </w:r>
          </w:p>
        </w:tc>
        <w:tc>
          <w:tcPr>
            <w:tcW w:w="2268" w:type="dxa"/>
            <w:tcBorders>
              <w:left w:val="nil"/>
              <w:bottom w:val="single" w:sz="4" w:space="0" w:color="auto"/>
              <w:right w:val="nil"/>
            </w:tcBorders>
          </w:tcPr>
          <w:p w14:paraId="7C1ED6E6" w14:textId="7E274108" w:rsidR="007D6247" w:rsidRDefault="007D6247" w:rsidP="007D6247">
            <w:pPr>
              <w:jc w:val="center"/>
            </w:pPr>
            <w:r>
              <w:t>Negative Tweets (#)</w:t>
            </w:r>
          </w:p>
        </w:tc>
      </w:tr>
      <w:tr w:rsidR="007D6247" w14:paraId="4B324B78" w14:textId="77777777" w:rsidTr="007D6247">
        <w:tc>
          <w:tcPr>
            <w:tcW w:w="1271" w:type="dxa"/>
            <w:tcBorders>
              <w:left w:val="nil"/>
              <w:bottom w:val="nil"/>
              <w:right w:val="nil"/>
            </w:tcBorders>
          </w:tcPr>
          <w:p w14:paraId="6AECB249" w14:textId="31B3B4C3" w:rsidR="007D6247" w:rsidRDefault="007D6247" w:rsidP="007D6247">
            <w:r>
              <w:t>Toronto</w:t>
            </w:r>
          </w:p>
        </w:tc>
        <w:tc>
          <w:tcPr>
            <w:tcW w:w="2126" w:type="dxa"/>
            <w:tcBorders>
              <w:left w:val="nil"/>
              <w:bottom w:val="nil"/>
              <w:right w:val="nil"/>
            </w:tcBorders>
            <w:vAlign w:val="bottom"/>
          </w:tcPr>
          <w:p w14:paraId="158089DE" w14:textId="716D8FB1" w:rsidR="007D6247" w:rsidRDefault="007D6247" w:rsidP="007D6247">
            <w:pPr>
              <w:jc w:val="center"/>
            </w:pPr>
            <w:r>
              <w:rPr>
                <w:rFonts w:ascii="Calibri" w:hAnsi="Calibri" w:cs="Calibri"/>
                <w:color w:val="000000"/>
              </w:rPr>
              <w:t>1184</w:t>
            </w:r>
          </w:p>
        </w:tc>
        <w:tc>
          <w:tcPr>
            <w:tcW w:w="2268" w:type="dxa"/>
            <w:tcBorders>
              <w:left w:val="nil"/>
              <w:bottom w:val="nil"/>
              <w:right w:val="nil"/>
            </w:tcBorders>
            <w:vAlign w:val="bottom"/>
          </w:tcPr>
          <w:p w14:paraId="7F35BA20" w14:textId="132E626E" w:rsidR="007D6247" w:rsidRDefault="007D6247" w:rsidP="007D6247">
            <w:pPr>
              <w:jc w:val="center"/>
            </w:pPr>
            <w:r>
              <w:rPr>
                <w:rFonts w:ascii="Calibri" w:hAnsi="Calibri" w:cs="Calibri"/>
                <w:color w:val="000000"/>
              </w:rPr>
              <w:t>1209</w:t>
            </w:r>
          </w:p>
        </w:tc>
      </w:tr>
      <w:tr w:rsidR="007D6247" w14:paraId="7B5DB7C6" w14:textId="77777777" w:rsidTr="007D6247">
        <w:tc>
          <w:tcPr>
            <w:tcW w:w="1271" w:type="dxa"/>
            <w:tcBorders>
              <w:top w:val="nil"/>
              <w:left w:val="nil"/>
              <w:bottom w:val="nil"/>
              <w:right w:val="nil"/>
            </w:tcBorders>
          </w:tcPr>
          <w:p w14:paraId="63861F85" w14:textId="111C16AA" w:rsidR="007D6247" w:rsidRDefault="007D6247" w:rsidP="007D6247">
            <w:r>
              <w:t xml:space="preserve">Montreal </w:t>
            </w:r>
          </w:p>
        </w:tc>
        <w:tc>
          <w:tcPr>
            <w:tcW w:w="2126" w:type="dxa"/>
            <w:tcBorders>
              <w:top w:val="nil"/>
              <w:left w:val="nil"/>
              <w:bottom w:val="nil"/>
              <w:right w:val="nil"/>
            </w:tcBorders>
            <w:vAlign w:val="bottom"/>
          </w:tcPr>
          <w:p w14:paraId="2B7424DB" w14:textId="7582C371" w:rsidR="007D6247" w:rsidRDefault="007D6247" w:rsidP="007D6247">
            <w:pPr>
              <w:jc w:val="center"/>
            </w:pPr>
            <w:r>
              <w:rPr>
                <w:rFonts w:ascii="Calibri" w:hAnsi="Calibri" w:cs="Calibri"/>
                <w:color w:val="000000"/>
              </w:rPr>
              <w:t>1400</w:t>
            </w:r>
          </w:p>
        </w:tc>
        <w:tc>
          <w:tcPr>
            <w:tcW w:w="2268" w:type="dxa"/>
            <w:tcBorders>
              <w:top w:val="nil"/>
              <w:left w:val="nil"/>
              <w:bottom w:val="nil"/>
              <w:right w:val="nil"/>
            </w:tcBorders>
            <w:vAlign w:val="bottom"/>
          </w:tcPr>
          <w:p w14:paraId="21B6C2D9" w14:textId="3490A9B5" w:rsidR="007D6247" w:rsidRDefault="007D6247" w:rsidP="007D6247">
            <w:pPr>
              <w:jc w:val="center"/>
            </w:pPr>
            <w:r>
              <w:rPr>
                <w:rFonts w:ascii="Calibri" w:hAnsi="Calibri" w:cs="Calibri"/>
                <w:color w:val="000000"/>
              </w:rPr>
              <w:t>1179</w:t>
            </w:r>
          </w:p>
        </w:tc>
      </w:tr>
      <w:tr w:rsidR="007D6247" w14:paraId="36147E06" w14:textId="77777777" w:rsidTr="007D6247">
        <w:tc>
          <w:tcPr>
            <w:tcW w:w="1271" w:type="dxa"/>
            <w:tcBorders>
              <w:top w:val="nil"/>
              <w:left w:val="nil"/>
              <w:right w:val="nil"/>
            </w:tcBorders>
          </w:tcPr>
          <w:p w14:paraId="556028EE" w14:textId="6F41198A" w:rsidR="007D6247" w:rsidRDefault="007D6247" w:rsidP="007D6247">
            <w:r>
              <w:t>Vancouver</w:t>
            </w:r>
          </w:p>
        </w:tc>
        <w:tc>
          <w:tcPr>
            <w:tcW w:w="2126" w:type="dxa"/>
            <w:tcBorders>
              <w:top w:val="nil"/>
              <w:left w:val="nil"/>
              <w:right w:val="nil"/>
            </w:tcBorders>
            <w:vAlign w:val="bottom"/>
          </w:tcPr>
          <w:p w14:paraId="650F11FE" w14:textId="2CCB4EB6" w:rsidR="007D6247" w:rsidRDefault="007D6247" w:rsidP="007D6247">
            <w:pPr>
              <w:jc w:val="center"/>
            </w:pPr>
            <w:r>
              <w:rPr>
                <w:rFonts w:ascii="Calibri" w:hAnsi="Calibri" w:cs="Calibri"/>
                <w:color w:val="000000"/>
              </w:rPr>
              <w:t>1348</w:t>
            </w:r>
          </w:p>
        </w:tc>
        <w:tc>
          <w:tcPr>
            <w:tcW w:w="2268" w:type="dxa"/>
            <w:tcBorders>
              <w:top w:val="nil"/>
              <w:left w:val="nil"/>
              <w:right w:val="nil"/>
            </w:tcBorders>
            <w:vAlign w:val="bottom"/>
          </w:tcPr>
          <w:p w14:paraId="0E322DD2" w14:textId="0E975A50" w:rsidR="007D6247" w:rsidRDefault="007D6247" w:rsidP="00651792">
            <w:pPr>
              <w:keepNext/>
              <w:jc w:val="center"/>
            </w:pPr>
            <w:r>
              <w:rPr>
                <w:rFonts w:ascii="Calibri" w:hAnsi="Calibri" w:cs="Calibri"/>
                <w:color w:val="000000"/>
              </w:rPr>
              <w:t>1122</w:t>
            </w:r>
          </w:p>
        </w:tc>
      </w:tr>
    </w:tbl>
    <w:p w14:paraId="4AB35BED" w14:textId="6260F039" w:rsidR="007D6247" w:rsidRDefault="00651792" w:rsidP="0050332E">
      <w:pPr>
        <w:pStyle w:val="Caption"/>
        <w:spacing w:before="120"/>
      </w:pPr>
      <w:r>
        <w:t xml:space="preserve">Figure </w:t>
      </w:r>
      <w:r>
        <w:fldChar w:fldCharType="begin"/>
      </w:r>
      <w:r>
        <w:instrText xml:space="preserve"> SEQ Figure \* ARABIC </w:instrText>
      </w:r>
      <w:r>
        <w:fldChar w:fldCharType="separate"/>
      </w:r>
      <w:r w:rsidR="006A4DEF">
        <w:rPr>
          <w:noProof/>
        </w:rPr>
        <w:t>5</w:t>
      </w:r>
      <w:r>
        <w:fldChar w:fldCharType="end"/>
      </w:r>
      <w:r>
        <w:t xml:space="preserve">. </w:t>
      </w:r>
      <w:r w:rsidRPr="000E2258">
        <w:rPr>
          <w:i w:val="0"/>
          <w:iCs w:val="0"/>
        </w:rPr>
        <w:t>Results for Toronto, Montreal and Vancouver data sets after running the ensemble classifier.</w:t>
      </w:r>
    </w:p>
    <w:p w14:paraId="06299662" w14:textId="77777777" w:rsidR="00F327B7" w:rsidRDefault="004B32B1" w:rsidP="006A4DEF">
      <w:pPr>
        <w:keepNext/>
        <w:spacing w:after="0"/>
      </w:pPr>
      <w:r>
        <w:rPr>
          <w:noProof/>
        </w:rPr>
        <w:drawing>
          <wp:inline distT="0" distB="0" distL="0" distR="0" wp14:anchorId="55A0960A" wp14:editId="7AAC0767">
            <wp:extent cx="5494020" cy="2827020"/>
            <wp:effectExtent l="0" t="0" r="0" b="0"/>
            <wp:docPr id="4" name="Chart 4">
              <a:extLst xmlns:a="http://schemas.openxmlformats.org/drawingml/2006/main">
                <a:ext uri="{FF2B5EF4-FFF2-40B4-BE49-F238E27FC236}">
                  <a16:creationId xmlns:a16="http://schemas.microsoft.com/office/drawing/2014/main" id="{704ECA8B-B70E-424F-8C61-CF7F4D239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BDCBC2" w14:textId="204D466E" w:rsidR="004B32B1" w:rsidRDefault="00F327B7" w:rsidP="00CF6F8B">
      <w:pPr>
        <w:pStyle w:val="Caption"/>
        <w:rPr>
          <w:i w:val="0"/>
          <w:iCs w:val="0"/>
        </w:rPr>
      </w:pPr>
      <w:r>
        <w:t xml:space="preserve">Figure </w:t>
      </w:r>
      <w:r>
        <w:fldChar w:fldCharType="begin"/>
      </w:r>
      <w:r>
        <w:instrText xml:space="preserve"> SEQ Figure \* ARABIC </w:instrText>
      </w:r>
      <w:r>
        <w:fldChar w:fldCharType="separate"/>
      </w:r>
      <w:r w:rsidR="006A4DEF">
        <w:rPr>
          <w:noProof/>
        </w:rPr>
        <w:t>6</w:t>
      </w:r>
      <w:r>
        <w:fldChar w:fldCharType="end"/>
      </w:r>
      <w:r w:rsidR="00F005BD">
        <w:t>.</w:t>
      </w:r>
      <w:r>
        <w:t xml:space="preserve"> </w:t>
      </w:r>
      <w:r>
        <w:rPr>
          <w:i w:val="0"/>
          <w:iCs w:val="0"/>
        </w:rPr>
        <w:t>Results for Toronto, Vancouver and Montreal after running the ensemble classifier.</w:t>
      </w:r>
    </w:p>
    <w:p w14:paraId="3A587375" w14:textId="04F4F6D6" w:rsidR="007029FA" w:rsidRPr="007029FA" w:rsidRDefault="007029FA" w:rsidP="007029FA">
      <w:r>
        <w:lastRenderedPageBreak/>
        <w:t>The ensemble classifier is run on the Toronto, Montreal and Vancouver data sets with the results indicated in figure</w:t>
      </w:r>
      <w:r w:rsidR="0050332E">
        <w:t>s</w:t>
      </w:r>
      <w:r>
        <w:t xml:space="preserve"> </w:t>
      </w:r>
      <w:r w:rsidR="0050332E">
        <w:t>5 &amp; 6</w:t>
      </w:r>
      <w:r>
        <w:t>.</w:t>
      </w:r>
      <w:r w:rsidR="0050332E">
        <w:t xml:space="preserve"> </w:t>
      </w:r>
      <w:r>
        <w:t xml:space="preserve"> </w:t>
      </w:r>
      <w:r w:rsidR="00F963FC">
        <w:t xml:space="preserve">Looking at the data we can see that Toronto’s data set as more tweets that were classified having a negative sentiment than either of the other data sets. Toronto also had a lower number of tweets that were classified as having a positive sentiment overall. If we were looking at this chart and these cities were replaced by tweets </w:t>
      </w:r>
      <w:r w:rsidR="00122C09">
        <w:t>about</w:t>
      </w:r>
      <w:r w:rsidR="00F963FC">
        <w:t xml:space="preserve"> neighbourhood sentiments we could argue that given the data we are seeing Toronto would potentially be seen as the neighbourhood that would need further investigation for revitalization support</w:t>
      </w:r>
      <w:r w:rsidR="00122C09">
        <w:t>,</w:t>
      </w:r>
      <w:r w:rsidR="00F963FC">
        <w:t xml:space="preserve"> </w:t>
      </w:r>
      <w:r w:rsidR="00F005BD">
        <w:t xml:space="preserve">given that there is more negative sentiment and less overall positive sentiment tweeted about the area. </w:t>
      </w:r>
    </w:p>
    <w:p w14:paraId="2DA5297D" w14:textId="4D215E9B" w:rsidR="00A1073D" w:rsidRDefault="00A1073D" w:rsidP="00A1073D">
      <w:pPr>
        <w:pStyle w:val="Heading1"/>
      </w:pPr>
      <w:r>
        <w:t>Conclusion</w:t>
      </w:r>
    </w:p>
    <w:p w14:paraId="14373B80" w14:textId="5B598478" w:rsidR="009F5252" w:rsidRPr="00C07ACA" w:rsidRDefault="009F5252" w:rsidP="009F5252">
      <w:pPr>
        <w:rPr>
          <w:shd w:val="clear" w:color="auto" w:fill="FFFFFF"/>
        </w:rPr>
      </w:pPr>
      <w:r>
        <w:t xml:space="preserve">The </w:t>
      </w:r>
      <w:r w:rsidR="000C37E5">
        <w:t>ensemble classifier</w:t>
      </w:r>
      <w:r w:rsidR="00DA1DD1">
        <w:t xml:space="preserve"> performed better than the base classifiers for this report, </w:t>
      </w:r>
      <w:r w:rsidR="009C0DB6">
        <w:t xml:space="preserve">affirming the results </w:t>
      </w:r>
      <w:r w:rsidR="00DA1DD1">
        <w:t xml:space="preserve">Ankit (2008) had found in </w:t>
      </w:r>
      <w:r w:rsidR="009C0DB6">
        <w:t>their</w:t>
      </w:r>
      <w:r w:rsidR="00DA1DD1">
        <w:t xml:space="preserve"> paper </w:t>
      </w:r>
      <w:r w:rsidR="00DA1DD1" w:rsidRPr="00DA1DD1">
        <w:rPr>
          <w:i/>
          <w:iCs/>
          <w:shd w:val="clear" w:color="auto" w:fill="FFFFFF"/>
        </w:rPr>
        <w:t xml:space="preserve">An </w:t>
      </w:r>
      <w:r w:rsidR="00DA1DD1">
        <w:rPr>
          <w:i/>
          <w:iCs/>
          <w:shd w:val="clear" w:color="auto" w:fill="FFFFFF"/>
        </w:rPr>
        <w:t>E</w:t>
      </w:r>
      <w:r w:rsidR="00DA1DD1" w:rsidRPr="00DA1DD1">
        <w:rPr>
          <w:i/>
          <w:iCs/>
          <w:shd w:val="clear" w:color="auto" w:fill="FFFFFF"/>
        </w:rPr>
        <w:t xml:space="preserve">nsemble </w:t>
      </w:r>
      <w:r w:rsidR="00DA1DD1">
        <w:rPr>
          <w:i/>
          <w:iCs/>
          <w:shd w:val="clear" w:color="auto" w:fill="FFFFFF"/>
        </w:rPr>
        <w:t>C</w:t>
      </w:r>
      <w:r w:rsidR="00DA1DD1" w:rsidRPr="00DA1DD1">
        <w:rPr>
          <w:i/>
          <w:iCs/>
          <w:shd w:val="clear" w:color="auto" w:fill="FFFFFF"/>
        </w:rPr>
        <w:t xml:space="preserve">lassification </w:t>
      </w:r>
      <w:r w:rsidR="00DA1DD1">
        <w:rPr>
          <w:i/>
          <w:iCs/>
          <w:shd w:val="clear" w:color="auto" w:fill="FFFFFF"/>
        </w:rPr>
        <w:t>S</w:t>
      </w:r>
      <w:r w:rsidR="00DA1DD1" w:rsidRPr="00DA1DD1">
        <w:rPr>
          <w:i/>
          <w:iCs/>
          <w:shd w:val="clear" w:color="auto" w:fill="FFFFFF"/>
        </w:rPr>
        <w:t xml:space="preserve">ystem for Twitter </w:t>
      </w:r>
      <w:r w:rsidR="00DA1DD1">
        <w:rPr>
          <w:i/>
          <w:iCs/>
          <w:shd w:val="clear" w:color="auto" w:fill="FFFFFF"/>
        </w:rPr>
        <w:t>S</w:t>
      </w:r>
      <w:r w:rsidR="00DA1DD1" w:rsidRPr="00DA1DD1">
        <w:rPr>
          <w:i/>
          <w:iCs/>
          <w:shd w:val="clear" w:color="auto" w:fill="FFFFFF"/>
        </w:rPr>
        <w:t xml:space="preserve">entiment </w:t>
      </w:r>
      <w:r w:rsidR="00DA1DD1">
        <w:rPr>
          <w:i/>
          <w:iCs/>
          <w:shd w:val="clear" w:color="auto" w:fill="FFFFFF"/>
        </w:rPr>
        <w:t>A</w:t>
      </w:r>
      <w:r w:rsidR="00DA1DD1" w:rsidRPr="00DA1DD1">
        <w:rPr>
          <w:i/>
          <w:iCs/>
          <w:shd w:val="clear" w:color="auto" w:fill="FFFFFF"/>
        </w:rPr>
        <w:t>nalysis</w:t>
      </w:r>
      <w:r w:rsidR="00DA1DD1">
        <w:rPr>
          <w:i/>
          <w:iCs/>
          <w:shd w:val="clear" w:color="auto" w:fill="FFFFFF"/>
        </w:rPr>
        <w:t xml:space="preserve">. </w:t>
      </w:r>
      <w:r w:rsidR="008A380D">
        <w:rPr>
          <w:shd w:val="clear" w:color="auto" w:fill="FFFFFF"/>
        </w:rPr>
        <w:t xml:space="preserve">Using the </w:t>
      </w:r>
      <w:r w:rsidR="0071261F">
        <w:rPr>
          <w:shd w:val="clear" w:color="auto" w:fill="FFFFFF"/>
        </w:rPr>
        <w:t>ensemble classifier algorithm</w:t>
      </w:r>
      <w:r w:rsidR="008A380D">
        <w:rPr>
          <w:shd w:val="clear" w:color="auto" w:fill="FFFFFF"/>
        </w:rPr>
        <w:t xml:space="preserve"> and </w:t>
      </w:r>
      <w:r w:rsidR="00A52848">
        <w:rPr>
          <w:shd w:val="clear" w:color="auto" w:fill="FFFFFF"/>
        </w:rPr>
        <w:t xml:space="preserve">the </w:t>
      </w:r>
      <w:r w:rsidR="008A380D">
        <w:rPr>
          <w:shd w:val="clear" w:color="auto" w:fill="FFFFFF"/>
        </w:rPr>
        <w:t xml:space="preserve">steps that </w:t>
      </w:r>
      <w:r w:rsidR="00A52848">
        <w:rPr>
          <w:shd w:val="clear" w:color="auto" w:fill="FFFFFF"/>
        </w:rPr>
        <w:t>are</w:t>
      </w:r>
      <w:r w:rsidR="008A380D">
        <w:rPr>
          <w:shd w:val="clear" w:color="auto" w:fill="FFFFFF"/>
        </w:rPr>
        <w:t xml:space="preserve"> proposed in th</w:t>
      </w:r>
      <w:r w:rsidR="00A52848">
        <w:rPr>
          <w:shd w:val="clear" w:color="auto" w:fill="FFFFFF"/>
        </w:rPr>
        <w:t>is</w:t>
      </w:r>
      <w:r w:rsidR="008A380D">
        <w:rPr>
          <w:shd w:val="clear" w:color="auto" w:fill="FFFFFF"/>
        </w:rPr>
        <w:t xml:space="preserve"> paper, the process can be applied </w:t>
      </w:r>
      <w:r w:rsidR="0071261F">
        <w:rPr>
          <w:shd w:val="clear" w:color="auto" w:fill="FFFFFF"/>
        </w:rPr>
        <w:t xml:space="preserve">to </w:t>
      </w:r>
      <w:r w:rsidR="008A380D">
        <w:rPr>
          <w:shd w:val="clear" w:color="auto" w:fill="FFFFFF"/>
        </w:rPr>
        <w:t>tweets</w:t>
      </w:r>
      <w:r w:rsidR="0071261F">
        <w:rPr>
          <w:shd w:val="clear" w:color="auto" w:fill="FFFFFF"/>
        </w:rPr>
        <w:t xml:space="preserve"> collected</w:t>
      </w:r>
      <w:r w:rsidR="008A380D">
        <w:rPr>
          <w:shd w:val="clear" w:color="auto" w:fill="FFFFFF"/>
        </w:rPr>
        <w:t xml:space="preserve"> </w:t>
      </w:r>
      <w:r w:rsidR="0071261F">
        <w:rPr>
          <w:shd w:val="clear" w:color="auto" w:fill="FFFFFF"/>
        </w:rPr>
        <w:t xml:space="preserve">using Twitter’s </w:t>
      </w:r>
      <w:r w:rsidR="0071261F" w:rsidRPr="00F216D8">
        <w:t>Search Tweets API: Full-archive</w:t>
      </w:r>
      <w:r w:rsidR="0071261F">
        <w:rPr>
          <w:shd w:val="clear" w:color="auto" w:fill="FFFFFF"/>
        </w:rPr>
        <w:t xml:space="preserve"> when keywords searches for different neighbourhoods are applied. The results from the TSA can be used to then inform key decision makers and urban planners when having to decide which neighbourhoods require support for revitalization over others, especially since funding for these types of projects is finite.</w:t>
      </w:r>
      <w:r w:rsidR="00735E83">
        <w:rPr>
          <w:shd w:val="clear" w:color="auto" w:fill="FFFFFF"/>
        </w:rPr>
        <w:t xml:space="preserve"> Data collection methods using Twitter </w:t>
      </w:r>
      <w:r w:rsidR="00A52848">
        <w:rPr>
          <w:shd w:val="clear" w:color="auto" w:fill="FFFFFF"/>
        </w:rPr>
        <w:t xml:space="preserve">with NLP sentiment analysis </w:t>
      </w:r>
      <w:r w:rsidR="00735E83">
        <w:rPr>
          <w:shd w:val="clear" w:color="auto" w:fill="FFFFFF"/>
        </w:rPr>
        <w:t xml:space="preserve">can potentially help </w:t>
      </w:r>
      <w:r w:rsidR="00A52848">
        <w:rPr>
          <w:shd w:val="clear" w:color="auto" w:fill="FFFFFF"/>
        </w:rPr>
        <w:t xml:space="preserve">to either </w:t>
      </w:r>
      <w:r w:rsidR="00735E83">
        <w:rPr>
          <w:shd w:val="clear" w:color="auto" w:fill="FFFFFF"/>
        </w:rPr>
        <w:t xml:space="preserve">alleviate some of the burden </w:t>
      </w:r>
      <w:r w:rsidR="00A52848">
        <w:rPr>
          <w:shd w:val="clear" w:color="auto" w:fill="FFFFFF"/>
        </w:rPr>
        <w:t xml:space="preserve">around the creation and production of civic surveys or can complement the data collected by those means, providing new approaches to evidence gathering and analysis for governments that are seeking them.  </w:t>
      </w:r>
    </w:p>
    <w:p w14:paraId="129509A5" w14:textId="1BB233F1" w:rsidR="003F6661" w:rsidRDefault="009D3A08" w:rsidP="009D3A08">
      <w:pPr>
        <w:pStyle w:val="Heading1"/>
      </w:pPr>
      <w:r>
        <w:t>References</w:t>
      </w:r>
    </w:p>
    <w:p w14:paraId="7DE0ED32" w14:textId="3EBBCDCD" w:rsidR="00CE10F2" w:rsidRDefault="00CE10F2" w:rsidP="00CE10F2">
      <w:pPr>
        <w:ind w:left="720" w:hanging="720"/>
        <w:rPr>
          <w:shd w:val="clear" w:color="auto" w:fill="FFFFFF"/>
        </w:rPr>
      </w:pPr>
      <w:r>
        <w:rPr>
          <w:shd w:val="clear" w:color="auto" w:fill="FFFFFF"/>
        </w:rPr>
        <w:t xml:space="preserve">Ankit, N. S. (2018). </w:t>
      </w:r>
      <w:r w:rsidRPr="00CE10F2">
        <w:rPr>
          <w:shd w:val="clear" w:color="auto" w:fill="FFFFFF"/>
        </w:rPr>
        <w:t xml:space="preserve">An </w:t>
      </w:r>
      <w:r w:rsidR="00091E8E">
        <w:rPr>
          <w:shd w:val="clear" w:color="auto" w:fill="FFFFFF"/>
        </w:rPr>
        <w:t>e</w:t>
      </w:r>
      <w:r w:rsidRPr="00CE10F2">
        <w:rPr>
          <w:shd w:val="clear" w:color="auto" w:fill="FFFFFF"/>
        </w:rPr>
        <w:t xml:space="preserve">nsemble </w:t>
      </w:r>
      <w:r w:rsidR="00091E8E" w:rsidRPr="00CE10F2">
        <w:rPr>
          <w:shd w:val="clear" w:color="auto" w:fill="FFFFFF"/>
        </w:rPr>
        <w:t xml:space="preserve">classification system for </w:t>
      </w:r>
      <w:r w:rsidR="00091E8E">
        <w:rPr>
          <w:shd w:val="clear" w:color="auto" w:fill="FFFFFF"/>
        </w:rPr>
        <w:t>T</w:t>
      </w:r>
      <w:r w:rsidR="00091E8E" w:rsidRPr="00CE10F2">
        <w:rPr>
          <w:shd w:val="clear" w:color="auto" w:fill="FFFFFF"/>
        </w:rPr>
        <w:t>witter sentiment analysis</w:t>
      </w:r>
      <w:r>
        <w:rPr>
          <w:shd w:val="clear" w:color="auto" w:fill="FFFFFF"/>
        </w:rPr>
        <w:t xml:space="preserve">. </w:t>
      </w:r>
      <w:r w:rsidRPr="00CE10F2">
        <w:rPr>
          <w:i/>
          <w:iCs/>
          <w:shd w:val="clear" w:color="auto" w:fill="FFFFFF"/>
        </w:rPr>
        <w:t>Procedia Computer Science</w:t>
      </w:r>
      <w:r>
        <w:rPr>
          <w:i/>
          <w:iCs/>
          <w:shd w:val="clear" w:color="auto" w:fill="FFFFFF"/>
        </w:rPr>
        <w:t>,</w:t>
      </w:r>
      <w:r w:rsidRPr="00CE10F2">
        <w:rPr>
          <w:i/>
          <w:iCs/>
          <w:shd w:val="clear" w:color="auto" w:fill="FFFFFF"/>
        </w:rPr>
        <w:t xml:space="preserve"> 132</w:t>
      </w:r>
      <w:r w:rsidRPr="00CE10F2">
        <w:rPr>
          <w:shd w:val="clear" w:color="auto" w:fill="FFFFFF"/>
        </w:rPr>
        <w:t>, 937-946</w:t>
      </w:r>
      <w:r>
        <w:rPr>
          <w:shd w:val="clear" w:color="auto" w:fill="FFFFFF"/>
        </w:rPr>
        <w:t>.</w:t>
      </w:r>
      <w:r w:rsidR="00CE43F5">
        <w:rPr>
          <w:shd w:val="clear" w:color="auto" w:fill="FFFFFF"/>
        </w:rPr>
        <w:t xml:space="preserve"> </w:t>
      </w:r>
      <w:hyperlink r:id="rId20" w:tgtFrame="_blank" w:tooltip="Persistent link using digital object identifier" w:history="1">
        <w:r w:rsidR="00CE43F5" w:rsidRPr="00CE43F5">
          <w:rPr>
            <w:rStyle w:val="Hyperlink"/>
            <w:shd w:val="clear" w:color="auto" w:fill="FFFFFF"/>
          </w:rPr>
          <w:t>https://doi.org/10.1016/j.procs.2018.05.109</w:t>
        </w:r>
      </w:hyperlink>
      <w:r w:rsidR="00CE43F5">
        <w:rPr>
          <w:shd w:val="clear" w:color="auto" w:fill="FFFFFF"/>
        </w:rPr>
        <w:t>.</w:t>
      </w:r>
    </w:p>
    <w:p w14:paraId="58D32B24" w14:textId="4F64E33C" w:rsidR="007B7E03" w:rsidRDefault="007B7E03" w:rsidP="00CE10F2">
      <w:pPr>
        <w:ind w:left="720" w:hanging="720"/>
        <w:rPr>
          <w:shd w:val="clear" w:color="auto" w:fill="FFFFFF"/>
        </w:rPr>
      </w:pPr>
      <w:proofErr w:type="spellStart"/>
      <w:r w:rsidRPr="007B7E03">
        <w:rPr>
          <w:shd w:val="clear" w:color="auto" w:fill="FFFFFF"/>
        </w:rPr>
        <w:t>Barnaghi</w:t>
      </w:r>
      <w:proofErr w:type="spellEnd"/>
      <w:r w:rsidRPr="007B7E03">
        <w:rPr>
          <w:shd w:val="clear" w:color="auto" w:fill="FFFFFF"/>
        </w:rPr>
        <w:t xml:space="preserve">, P., Breslin, J. G., &amp; </w:t>
      </w:r>
      <w:proofErr w:type="spellStart"/>
      <w:r w:rsidRPr="007B7E03">
        <w:rPr>
          <w:shd w:val="clear" w:color="auto" w:fill="FFFFFF"/>
        </w:rPr>
        <w:t>Ghaffari</w:t>
      </w:r>
      <w:proofErr w:type="spellEnd"/>
      <w:r w:rsidRPr="007B7E03">
        <w:rPr>
          <w:shd w:val="clear" w:color="auto" w:fill="FFFFFF"/>
        </w:rPr>
        <w:t xml:space="preserve">, P. (2016). Opinion mining and sentiment polarity on twitter and correlation between events and sentiment. </w:t>
      </w:r>
      <w:r w:rsidR="00AC6441" w:rsidRPr="00AC6441">
        <w:rPr>
          <w:i/>
          <w:iCs/>
          <w:shd w:val="clear" w:color="auto" w:fill="FFFFFF"/>
        </w:rPr>
        <w:t>IEEE Second International Conference on Big Data Computing Service and Applications (</w:t>
      </w:r>
      <w:proofErr w:type="spellStart"/>
      <w:r w:rsidR="00AC6441" w:rsidRPr="00AC6441">
        <w:rPr>
          <w:i/>
          <w:iCs/>
          <w:shd w:val="clear" w:color="auto" w:fill="FFFFFF"/>
        </w:rPr>
        <w:t>BigDataService</w:t>
      </w:r>
      <w:proofErr w:type="spellEnd"/>
      <w:r w:rsidR="00AC6441" w:rsidRPr="00AC6441">
        <w:rPr>
          <w:i/>
          <w:iCs/>
          <w:shd w:val="clear" w:color="auto" w:fill="FFFFFF"/>
        </w:rPr>
        <w:t>)</w:t>
      </w:r>
      <w:r w:rsidR="00AC6441" w:rsidRPr="00AC6441">
        <w:rPr>
          <w:shd w:val="clear" w:color="auto" w:fill="FFFFFF"/>
        </w:rPr>
        <w:t>, Oxford</w:t>
      </w:r>
      <w:r w:rsidRPr="007B7E03">
        <w:rPr>
          <w:shd w:val="clear" w:color="auto" w:fill="FFFFFF"/>
        </w:rPr>
        <w:t>.</w:t>
      </w:r>
      <w:r w:rsidR="00AC6441">
        <w:rPr>
          <w:shd w:val="clear" w:color="auto" w:fill="FFFFFF"/>
        </w:rPr>
        <w:t xml:space="preserve"> </w:t>
      </w:r>
      <w:hyperlink r:id="rId21" w:history="1">
        <w:r w:rsidR="00AC6441" w:rsidRPr="00875BA8">
          <w:rPr>
            <w:rStyle w:val="Hyperlink"/>
            <w:shd w:val="clear" w:color="auto" w:fill="FFFFFF"/>
          </w:rPr>
          <w:t>https://doi-org.ezproxy.lib.ryerson.ca/10.1109/BigDataService.2016.36</w:t>
        </w:r>
      </w:hyperlink>
      <w:r w:rsidR="00AC6441">
        <w:rPr>
          <w:shd w:val="clear" w:color="auto" w:fill="FFFFFF"/>
        </w:rPr>
        <w:t xml:space="preserve"> </w:t>
      </w:r>
    </w:p>
    <w:p w14:paraId="48A6C047" w14:textId="05F9BCF8" w:rsidR="00AC6224" w:rsidRDefault="00BA5610" w:rsidP="00CE10F2">
      <w:pPr>
        <w:ind w:left="720" w:hanging="720"/>
        <w:rPr>
          <w:shd w:val="clear" w:color="auto" w:fill="FFFFFF"/>
        </w:rPr>
      </w:pPr>
      <w:r w:rsidRPr="00BA5610">
        <w:rPr>
          <w:shd w:val="clear" w:color="auto" w:fill="FFFFFF"/>
        </w:rPr>
        <w:t xml:space="preserve">Bouazizi, </w:t>
      </w:r>
      <w:proofErr w:type="spellStart"/>
      <w:r w:rsidRPr="00BA5610">
        <w:rPr>
          <w:shd w:val="clear" w:color="auto" w:fill="FFFFFF"/>
        </w:rPr>
        <w:t>Mondher</w:t>
      </w:r>
      <w:proofErr w:type="spellEnd"/>
      <w:r w:rsidRPr="00BA5610">
        <w:rPr>
          <w:shd w:val="clear" w:color="auto" w:fill="FFFFFF"/>
        </w:rPr>
        <w:t xml:space="preserve"> &amp; </w:t>
      </w:r>
      <w:proofErr w:type="spellStart"/>
      <w:r w:rsidRPr="00BA5610">
        <w:rPr>
          <w:shd w:val="clear" w:color="auto" w:fill="FFFFFF"/>
        </w:rPr>
        <w:t>Ohtsuki</w:t>
      </w:r>
      <w:proofErr w:type="spellEnd"/>
      <w:r w:rsidRPr="00BA5610">
        <w:rPr>
          <w:shd w:val="clear" w:color="auto" w:fill="FFFFFF"/>
        </w:rPr>
        <w:t xml:space="preserve">, </w:t>
      </w:r>
      <w:proofErr w:type="spellStart"/>
      <w:r w:rsidRPr="00BA5610">
        <w:rPr>
          <w:shd w:val="clear" w:color="auto" w:fill="FFFFFF"/>
        </w:rPr>
        <w:t>Tomoaki</w:t>
      </w:r>
      <w:proofErr w:type="spellEnd"/>
      <w:r w:rsidRPr="00BA5610">
        <w:rPr>
          <w:shd w:val="clear" w:color="auto" w:fill="FFFFFF"/>
        </w:rPr>
        <w:t xml:space="preserve">. (2016). A </w:t>
      </w:r>
      <w:r w:rsidR="00E65964" w:rsidRPr="00BA5610">
        <w:rPr>
          <w:shd w:val="clear" w:color="auto" w:fill="FFFFFF"/>
        </w:rPr>
        <w:t xml:space="preserve">pattern-based approach for sarcasm detection </w:t>
      </w:r>
      <w:r w:rsidRPr="00BA5610">
        <w:rPr>
          <w:shd w:val="clear" w:color="auto" w:fill="FFFFFF"/>
        </w:rPr>
        <w:t xml:space="preserve">on Twitter. </w:t>
      </w:r>
      <w:r w:rsidRPr="00AC6224">
        <w:rPr>
          <w:i/>
          <w:iCs/>
          <w:shd w:val="clear" w:color="auto" w:fill="FFFFFF"/>
        </w:rPr>
        <w:t>IEEE Access</w:t>
      </w:r>
      <w:r w:rsidR="00AC6224">
        <w:rPr>
          <w:shd w:val="clear" w:color="auto" w:fill="FFFFFF"/>
        </w:rPr>
        <w:t>,</w:t>
      </w:r>
      <w:r w:rsidRPr="00BA5610">
        <w:rPr>
          <w:shd w:val="clear" w:color="auto" w:fill="FFFFFF"/>
        </w:rPr>
        <w:t xml:space="preserve"> </w:t>
      </w:r>
      <w:r w:rsidRPr="00AC6224">
        <w:rPr>
          <w:i/>
          <w:iCs/>
          <w:shd w:val="clear" w:color="auto" w:fill="FFFFFF"/>
        </w:rPr>
        <w:t>4</w:t>
      </w:r>
      <w:r w:rsidR="00AC6224">
        <w:rPr>
          <w:shd w:val="clear" w:color="auto" w:fill="FFFFFF"/>
        </w:rPr>
        <w:t>,</w:t>
      </w:r>
      <w:r w:rsidRPr="00BA5610">
        <w:rPr>
          <w:shd w:val="clear" w:color="auto" w:fill="FFFFFF"/>
        </w:rPr>
        <w:t xml:space="preserve"> 1-1.</w:t>
      </w:r>
      <w:r w:rsidR="00AC6224">
        <w:rPr>
          <w:shd w:val="clear" w:color="auto" w:fill="FFFFFF"/>
        </w:rPr>
        <w:t xml:space="preserve"> </w:t>
      </w:r>
      <w:hyperlink r:id="rId22" w:history="1">
        <w:r w:rsidR="00AC6224" w:rsidRPr="00A846DF">
          <w:rPr>
            <w:rStyle w:val="Hyperlink"/>
            <w:shd w:val="clear" w:color="auto" w:fill="FFFFFF"/>
          </w:rPr>
          <w:t>https://doi.org/10.1109/ACCESS.2016.2594194</w:t>
        </w:r>
      </w:hyperlink>
      <w:r w:rsidRPr="00BA5610">
        <w:rPr>
          <w:shd w:val="clear" w:color="auto" w:fill="FFFFFF"/>
        </w:rPr>
        <w:t xml:space="preserve">. </w:t>
      </w:r>
    </w:p>
    <w:p w14:paraId="218CD0F2" w14:textId="450AC14F" w:rsidR="00C1604B" w:rsidRDefault="00CE10F2" w:rsidP="00CE10F2">
      <w:pPr>
        <w:ind w:left="720" w:hanging="720"/>
        <w:rPr>
          <w:shd w:val="clear" w:color="auto" w:fill="FFFFFF"/>
        </w:rPr>
      </w:pPr>
      <w:proofErr w:type="spellStart"/>
      <w:r w:rsidRPr="00CE10F2">
        <w:rPr>
          <w:shd w:val="clear" w:color="auto" w:fill="FFFFFF"/>
        </w:rPr>
        <w:t>Giachanou</w:t>
      </w:r>
      <w:proofErr w:type="spellEnd"/>
      <w:r w:rsidRPr="00CE10F2">
        <w:rPr>
          <w:shd w:val="clear" w:color="auto" w:fill="FFFFFF"/>
        </w:rPr>
        <w:t xml:space="preserve">, Anastasia &amp; </w:t>
      </w:r>
      <w:proofErr w:type="spellStart"/>
      <w:r w:rsidRPr="00CE10F2">
        <w:rPr>
          <w:shd w:val="clear" w:color="auto" w:fill="FFFFFF"/>
        </w:rPr>
        <w:t>Crestani</w:t>
      </w:r>
      <w:proofErr w:type="spellEnd"/>
      <w:r w:rsidRPr="00CE10F2">
        <w:rPr>
          <w:shd w:val="clear" w:color="auto" w:fill="FFFFFF"/>
        </w:rPr>
        <w:t xml:space="preserve">, Fabio. (2016). Like </w:t>
      </w:r>
      <w:r w:rsidR="00091E8E">
        <w:rPr>
          <w:shd w:val="clear" w:color="auto" w:fill="FFFFFF"/>
        </w:rPr>
        <w:t>i</w:t>
      </w:r>
      <w:r w:rsidRPr="00CE10F2">
        <w:rPr>
          <w:shd w:val="clear" w:color="auto" w:fill="FFFFFF"/>
        </w:rPr>
        <w:t xml:space="preserve">t or </w:t>
      </w:r>
      <w:r w:rsidR="00091E8E">
        <w:rPr>
          <w:shd w:val="clear" w:color="auto" w:fill="FFFFFF"/>
        </w:rPr>
        <w:t>n</w:t>
      </w:r>
      <w:r w:rsidRPr="00CE10F2">
        <w:rPr>
          <w:shd w:val="clear" w:color="auto" w:fill="FFFFFF"/>
        </w:rPr>
        <w:t xml:space="preserve">ot: A </w:t>
      </w:r>
      <w:r w:rsidR="00091E8E" w:rsidRPr="00CE10F2">
        <w:rPr>
          <w:shd w:val="clear" w:color="auto" w:fill="FFFFFF"/>
        </w:rPr>
        <w:t xml:space="preserve">survey of </w:t>
      </w:r>
      <w:r w:rsidR="00091E8E">
        <w:rPr>
          <w:shd w:val="clear" w:color="auto" w:fill="FFFFFF"/>
        </w:rPr>
        <w:t>T</w:t>
      </w:r>
      <w:r w:rsidR="00091E8E" w:rsidRPr="00CE10F2">
        <w:rPr>
          <w:shd w:val="clear" w:color="auto" w:fill="FFFFFF"/>
        </w:rPr>
        <w:t>witter sentiment analysis</w:t>
      </w:r>
      <w:r w:rsidR="00091E8E">
        <w:rPr>
          <w:shd w:val="clear" w:color="auto" w:fill="FFFFFF"/>
        </w:rPr>
        <w:t xml:space="preserve"> </w:t>
      </w:r>
      <w:r w:rsidR="00091E8E" w:rsidRPr="00CE10F2">
        <w:rPr>
          <w:shd w:val="clear" w:color="auto" w:fill="FFFFFF"/>
        </w:rPr>
        <w:t>methods</w:t>
      </w:r>
      <w:r w:rsidRPr="00CE10F2">
        <w:rPr>
          <w:shd w:val="clear" w:color="auto" w:fill="FFFFFF"/>
        </w:rPr>
        <w:t xml:space="preserve">. </w:t>
      </w:r>
      <w:r w:rsidRPr="00CE10F2">
        <w:rPr>
          <w:i/>
          <w:iCs/>
          <w:shd w:val="clear" w:color="auto" w:fill="FFFFFF"/>
        </w:rPr>
        <w:t>ACM Computing Surveys</w:t>
      </w:r>
      <w:r>
        <w:rPr>
          <w:shd w:val="clear" w:color="auto" w:fill="FFFFFF"/>
        </w:rPr>
        <w:t>,</w:t>
      </w:r>
      <w:r w:rsidRPr="00CE10F2">
        <w:rPr>
          <w:shd w:val="clear" w:color="auto" w:fill="FFFFFF"/>
        </w:rPr>
        <w:t xml:space="preserve"> </w:t>
      </w:r>
      <w:r w:rsidRPr="00CE10F2">
        <w:rPr>
          <w:i/>
          <w:iCs/>
          <w:shd w:val="clear" w:color="auto" w:fill="FFFFFF"/>
        </w:rPr>
        <w:t>49</w:t>
      </w:r>
      <w:r>
        <w:rPr>
          <w:shd w:val="clear" w:color="auto" w:fill="FFFFFF"/>
        </w:rPr>
        <w:t>(2),</w:t>
      </w:r>
      <w:r w:rsidRPr="00CE10F2">
        <w:rPr>
          <w:shd w:val="clear" w:color="auto" w:fill="FFFFFF"/>
        </w:rPr>
        <w:t xml:space="preserve"> 1</w:t>
      </w:r>
      <w:r>
        <w:rPr>
          <w:shd w:val="clear" w:color="auto" w:fill="FFFFFF"/>
        </w:rPr>
        <w:t>-41</w:t>
      </w:r>
      <w:r w:rsidRPr="00CE10F2">
        <w:rPr>
          <w:shd w:val="clear" w:color="auto" w:fill="FFFFFF"/>
        </w:rPr>
        <w:t xml:space="preserve">. </w:t>
      </w:r>
      <w:hyperlink r:id="rId23" w:history="1">
        <w:r w:rsidRPr="00CE10F2">
          <w:rPr>
            <w:rStyle w:val="Hyperlink"/>
            <w:shd w:val="clear" w:color="auto" w:fill="FFFFFF"/>
          </w:rPr>
          <w:t>https://doi.org/10.1145/2938640</w:t>
        </w:r>
      </w:hyperlink>
      <w:r w:rsidRPr="00CE10F2">
        <w:rPr>
          <w:shd w:val="clear" w:color="auto" w:fill="FFFFFF"/>
        </w:rPr>
        <w:t>.</w:t>
      </w:r>
    </w:p>
    <w:p w14:paraId="69C1D161" w14:textId="2AA8F11B" w:rsidR="00362BEA" w:rsidRDefault="00362BEA" w:rsidP="00FD14A9">
      <w:pPr>
        <w:ind w:left="720" w:hanging="720"/>
        <w:rPr>
          <w:shd w:val="clear" w:color="auto" w:fill="FFFFFF"/>
        </w:rPr>
      </w:pPr>
      <w:r>
        <w:rPr>
          <w:shd w:val="clear" w:color="auto" w:fill="FFFFFF"/>
        </w:rPr>
        <w:t>G</w:t>
      </w:r>
      <w:r w:rsidRPr="00362BEA">
        <w:rPr>
          <w:shd w:val="clear" w:color="auto" w:fill="FFFFFF"/>
        </w:rPr>
        <w:t>ibbons</w:t>
      </w:r>
      <w:r>
        <w:rPr>
          <w:shd w:val="clear" w:color="auto" w:fill="FFFFFF"/>
        </w:rPr>
        <w:t>,</w:t>
      </w:r>
      <w:r w:rsidRPr="00362BEA">
        <w:rPr>
          <w:shd w:val="clear" w:color="auto" w:fill="FFFFFF"/>
        </w:rPr>
        <w:t xml:space="preserve"> J</w:t>
      </w:r>
      <w:r>
        <w:rPr>
          <w:shd w:val="clear" w:color="auto" w:fill="FFFFFF"/>
        </w:rPr>
        <w:t>.</w:t>
      </w:r>
      <w:r w:rsidRPr="00362BEA">
        <w:rPr>
          <w:shd w:val="clear" w:color="auto" w:fill="FFFFFF"/>
        </w:rPr>
        <w:t>, Malouf</w:t>
      </w:r>
      <w:r>
        <w:rPr>
          <w:shd w:val="clear" w:color="auto" w:fill="FFFFFF"/>
        </w:rPr>
        <w:t>,</w:t>
      </w:r>
      <w:r w:rsidRPr="00362BEA">
        <w:rPr>
          <w:shd w:val="clear" w:color="auto" w:fill="FFFFFF"/>
        </w:rPr>
        <w:t xml:space="preserve"> R</w:t>
      </w:r>
      <w:r>
        <w:rPr>
          <w:shd w:val="clear" w:color="auto" w:fill="FFFFFF"/>
        </w:rPr>
        <w:t>.</w:t>
      </w:r>
      <w:r w:rsidRPr="00362BEA">
        <w:rPr>
          <w:shd w:val="clear" w:color="auto" w:fill="FFFFFF"/>
        </w:rPr>
        <w:t xml:space="preserve">, </w:t>
      </w:r>
      <w:proofErr w:type="spellStart"/>
      <w:r w:rsidRPr="00362BEA">
        <w:rPr>
          <w:shd w:val="clear" w:color="auto" w:fill="FFFFFF"/>
        </w:rPr>
        <w:t>Spitzberg</w:t>
      </w:r>
      <w:proofErr w:type="spellEnd"/>
      <w:r>
        <w:rPr>
          <w:shd w:val="clear" w:color="auto" w:fill="FFFFFF"/>
        </w:rPr>
        <w:t>,</w:t>
      </w:r>
      <w:r w:rsidRPr="00362BEA">
        <w:rPr>
          <w:shd w:val="clear" w:color="auto" w:fill="FFFFFF"/>
        </w:rPr>
        <w:t xml:space="preserve"> B</w:t>
      </w:r>
      <w:r>
        <w:rPr>
          <w:shd w:val="clear" w:color="auto" w:fill="FFFFFF"/>
        </w:rPr>
        <w:t>.</w:t>
      </w:r>
      <w:r w:rsidRPr="00362BEA">
        <w:rPr>
          <w:shd w:val="clear" w:color="auto" w:fill="FFFFFF"/>
        </w:rPr>
        <w:t>, Martinez</w:t>
      </w:r>
      <w:r>
        <w:rPr>
          <w:shd w:val="clear" w:color="auto" w:fill="FFFFFF"/>
        </w:rPr>
        <w:t>,</w:t>
      </w:r>
      <w:r w:rsidRPr="00362BEA">
        <w:rPr>
          <w:shd w:val="clear" w:color="auto" w:fill="FFFFFF"/>
        </w:rPr>
        <w:t xml:space="preserve"> L</w:t>
      </w:r>
      <w:r>
        <w:rPr>
          <w:shd w:val="clear" w:color="auto" w:fill="FFFFFF"/>
        </w:rPr>
        <w:t>.</w:t>
      </w:r>
      <w:r w:rsidRPr="00362BEA">
        <w:rPr>
          <w:shd w:val="clear" w:color="auto" w:fill="FFFFFF"/>
        </w:rPr>
        <w:t>, Appleyard</w:t>
      </w:r>
      <w:r>
        <w:rPr>
          <w:shd w:val="clear" w:color="auto" w:fill="FFFFFF"/>
        </w:rPr>
        <w:t>,</w:t>
      </w:r>
      <w:r w:rsidRPr="00362BEA">
        <w:rPr>
          <w:shd w:val="clear" w:color="auto" w:fill="FFFFFF"/>
        </w:rPr>
        <w:t xml:space="preserve"> B</w:t>
      </w:r>
      <w:r>
        <w:rPr>
          <w:shd w:val="clear" w:color="auto" w:fill="FFFFFF"/>
        </w:rPr>
        <w:t>.</w:t>
      </w:r>
      <w:r w:rsidRPr="00362BEA">
        <w:rPr>
          <w:shd w:val="clear" w:color="auto" w:fill="FFFFFF"/>
        </w:rPr>
        <w:t>, Thompson</w:t>
      </w:r>
      <w:r>
        <w:rPr>
          <w:shd w:val="clear" w:color="auto" w:fill="FFFFFF"/>
        </w:rPr>
        <w:t>,</w:t>
      </w:r>
      <w:r w:rsidRPr="00362BEA">
        <w:rPr>
          <w:shd w:val="clear" w:color="auto" w:fill="FFFFFF"/>
        </w:rPr>
        <w:t xml:space="preserve"> C</w:t>
      </w:r>
      <w:r>
        <w:rPr>
          <w:shd w:val="clear" w:color="auto" w:fill="FFFFFF"/>
        </w:rPr>
        <w:t>.</w:t>
      </w:r>
      <w:r w:rsidRPr="00362BEA">
        <w:rPr>
          <w:shd w:val="clear" w:color="auto" w:fill="FFFFFF"/>
        </w:rPr>
        <w:t xml:space="preserve">, et al. (2019) Twitter-based measures of neighborhood sentiment as predictors of residential population health. </w:t>
      </w:r>
      <w:proofErr w:type="spellStart"/>
      <w:r w:rsidRPr="00362BEA">
        <w:rPr>
          <w:i/>
          <w:iCs/>
          <w:shd w:val="clear" w:color="auto" w:fill="FFFFFF"/>
        </w:rPr>
        <w:t>PLoS</w:t>
      </w:r>
      <w:proofErr w:type="spellEnd"/>
      <w:r w:rsidRPr="00362BEA">
        <w:rPr>
          <w:i/>
          <w:iCs/>
          <w:shd w:val="clear" w:color="auto" w:fill="FFFFFF"/>
        </w:rPr>
        <w:t xml:space="preserve"> ONE</w:t>
      </w:r>
      <w:r>
        <w:rPr>
          <w:shd w:val="clear" w:color="auto" w:fill="FFFFFF"/>
        </w:rPr>
        <w:t>,</w:t>
      </w:r>
      <w:r w:rsidRPr="00362BEA">
        <w:rPr>
          <w:shd w:val="clear" w:color="auto" w:fill="FFFFFF"/>
        </w:rPr>
        <w:t xml:space="preserve"> </w:t>
      </w:r>
      <w:r w:rsidRPr="00362BEA">
        <w:rPr>
          <w:i/>
          <w:iCs/>
          <w:shd w:val="clear" w:color="auto" w:fill="FFFFFF"/>
        </w:rPr>
        <w:t>14</w:t>
      </w:r>
      <w:r w:rsidRPr="00362BEA">
        <w:rPr>
          <w:shd w:val="clear" w:color="auto" w:fill="FFFFFF"/>
        </w:rPr>
        <w:t xml:space="preserve">(7): e0219550. </w:t>
      </w:r>
      <w:hyperlink r:id="rId24" w:history="1">
        <w:r w:rsidRPr="00A846DF">
          <w:rPr>
            <w:rStyle w:val="Hyperlink"/>
            <w:shd w:val="clear" w:color="auto" w:fill="FFFFFF"/>
          </w:rPr>
          <w:t>https://doi.org/10.1371/journal.pone.0219550</w:t>
        </w:r>
      </w:hyperlink>
      <w:r>
        <w:rPr>
          <w:shd w:val="clear" w:color="auto" w:fill="FFFFFF"/>
        </w:rPr>
        <w:t>.</w:t>
      </w:r>
    </w:p>
    <w:p w14:paraId="439B27A6" w14:textId="702FB2DF" w:rsidR="005A5160" w:rsidRDefault="005A5160" w:rsidP="00FD14A9">
      <w:pPr>
        <w:ind w:left="720" w:hanging="720"/>
        <w:rPr>
          <w:shd w:val="clear" w:color="auto" w:fill="FFFFFF"/>
        </w:rPr>
      </w:pPr>
      <w:r w:rsidRPr="005A5160">
        <w:rPr>
          <w:shd w:val="clear" w:color="auto" w:fill="FFFFFF"/>
        </w:rPr>
        <w:lastRenderedPageBreak/>
        <w:t>Hu</w:t>
      </w:r>
      <w:r>
        <w:rPr>
          <w:shd w:val="clear" w:color="auto" w:fill="FFFFFF"/>
        </w:rPr>
        <w:t>, Y.</w:t>
      </w:r>
      <w:r w:rsidRPr="005A5160">
        <w:rPr>
          <w:shd w:val="clear" w:color="auto" w:fill="FFFFFF"/>
        </w:rPr>
        <w:t>, Deng</w:t>
      </w:r>
      <w:r>
        <w:rPr>
          <w:shd w:val="clear" w:color="auto" w:fill="FFFFFF"/>
        </w:rPr>
        <w:t>, C.</w:t>
      </w:r>
      <w:r w:rsidRPr="005A5160">
        <w:rPr>
          <w:shd w:val="clear" w:color="auto" w:fill="FFFFFF"/>
        </w:rPr>
        <w:t xml:space="preserve"> &amp; Zhou</w:t>
      </w:r>
      <w:r>
        <w:rPr>
          <w:shd w:val="clear" w:color="auto" w:fill="FFFFFF"/>
        </w:rPr>
        <w:t>, Z.</w:t>
      </w:r>
      <w:r w:rsidRPr="005A5160">
        <w:rPr>
          <w:shd w:val="clear" w:color="auto" w:fill="FFFFFF"/>
        </w:rPr>
        <w:t xml:space="preserve"> (2019)</w:t>
      </w:r>
      <w:r w:rsidR="00BF5587">
        <w:rPr>
          <w:shd w:val="clear" w:color="auto" w:fill="FFFFFF"/>
        </w:rPr>
        <w:t>.</w:t>
      </w:r>
      <w:r w:rsidRPr="005A5160">
        <w:rPr>
          <w:shd w:val="clear" w:color="auto" w:fill="FFFFFF"/>
        </w:rPr>
        <w:t xml:space="preserve"> A </w:t>
      </w:r>
      <w:r w:rsidR="00091E8E" w:rsidRPr="005A5160">
        <w:rPr>
          <w:shd w:val="clear" w:color="auto" w:fill="FFFFFF"/>
        </w:rPr>
        <w:t>semantic and sentiment analysis on online neighborhood reviews for understanding the perceptions of people toward their living environments</w:t>
      </w:r>
      <w:r>
        <w:rPr>
          <w:shd w:val="clear" w:color="auto" w:fill="FFFFFF"/>
        </w:rPr>
        <w:t>.</w:t>
      </w:r>
      <w:r w:rsidRPr="005A5160">
        <w:rPr>
          <w:shd w:val="clear" w:color="auto" w:fill="FFFFFF"/>
        </w:rPr>
        <w:t xml:space="preserve"> </w:t>
      </w:r>
      <w:r w:rsidRPr="005A5160">
        <w:rPr>
          <w:i/>
          <w:iCs/>
          <w:shd w:val="clear" w:color="auto" w:fill="FFFFFF"/>
        </w:rPr>
        <w:t>Annals of the American Association of Geographers</w:t>
      </w:r>
      <w:r w:rsidRPr="005A5160">
        <w:rPr>
          <w:shd w:val="clear" w:color="auto" w:fill="FFFFFF"/>
        </w:rPr>
        <w:t xml:space="preserve">, </w:t>
      </w:r>
      <w:r w:rsidRPr="005A5160">
        <w:rPr>
          <w:i/>
          <w:iCs/>
          <w:shd w:val="clear" w:color="auto" w:fill="FFFFFF"/>
        </w:rPr>
        <w:t>109</w:t>
      </w:r>
      <w:r>
        <w:rPr>
          <w:shd w:val="clear" w:color="auto" w:fill="FFFFFF"/>
        </w:rPr>
        <w:t>(</w:t>
      </w:r>
      <w:r w:rsidRPr="005A5160">
        <w:rPr>
          <w:shd w:val="clear" w:color="auto" w:fill="FFFFFF"/>
        </w:rPr>
        <w:t>4</w:t>
      </w:r>
      <w:r>
        <w:rPr>
          <w:shd w:val="clear" w:color="auto" w:fill="FFFFFF"/>
        </w:rPr>
        <w:t>)</w:t>
      </w:r>
      <w:r w:rsidRPr="005A5160">
        <w:rPr>
          <w:shd w:val="clear" w:color="auto" w:fill="FFFFFF"/>
        </w:rPr>
        <w:t>, 1052-1073</w:t>
      </w:r>
      <w:r>
        <w:rPr>
          <w:shd w:val="clear" w:color="auto" w:fill="FFFFFF"/>
        </w:rPr>
        <w:t>.</w:t>
      </w:r>
      <w:r w:rsidRPr="005A5160">
        <w:rPr>
          <w:shd w:val="clear" w:color="auto" w:fill="FFFFFF"/>
        </w:rPr>
        <w:t xml:space="preserve"> </w:t>
      </w:r>
      <w:hyperlink r:id="rId25" w:history="1">
        <w:r w:rsidRPr="00A846DF">
          <w:rPr>
            <w:rStyle w:val="Hyperlink"/>
            <w:shd w:val="clear" w:color="auto" w:fill="FFFFFF"/>
          </w:rPr>
          <w:t>https://doi.org/10.1080/24694452.2018.1535886</w:t>
        </w:r>
      </w:hyperlink>
      <w:r>
        <w:rPr>
          <w:shd w:val="clear" w:color="auto" w:fill="FFFFFF"/>
        </w:rPr>
        <w:t xml:space="preserve">. </w:t>
      </w:r>
    </w:p>
    <w:p w14:paraId="70EE052D" w14:textId="1BEA1FCA" w:rsidR="00602722" w:rsidRPr="00602722" w:rsidRDefault="00602722" w:rsidP="00FD14A9">
      <w:pPr>
        <w:ind w:left="720" w:hanging="720"/>
        <w:rPr>
          <w:shd w:val="clear" w:color="auto" w:fill="FFFFFF"/>
        </w:rPr>
      </w:pPr>
      <w:proofErr w:type="spellStart"/>
      <w:r>
        <w:rPr>
          <w:shd w:val="clear" w:color="auto" w:fill="FFFFFF"/>
        </w:rPr>
        <w:t>Meinert</w:t>
      </w:r>
      <w:proofErr w:type="spellEnd"/>
      <w:r>
        <w:rPr>
          <w:shd w:val="clear" w:color="auto" w:fill="FFFFFF"/>
        </w:rPr>
        <w:t xml:space="preserve">, R. (2019, June 5). </w:t>
      </w:r>
      <w:r w:rsidRPr="00602722">
        <w:rPr>
          <w:i/>
          <w:iCs/>
          <w:shd w:val="clear" w:color="auto" w:fill="FFFFFF"/>
        </w:rPr>
        <w:t>Optimizing Hyperparameters in Random Forest Classification</w:t>
      </w:r>
      <w:r>
        <w:rPr>
          <w:i/>
          <w:iCs/>
          <w:shd w:val="clear" w:color="auto" w:fill="FFFFFF"/>
        </w:rPr>
        <w:t>.</w:t>
      </w:r>
      <w:r>
        <w:rPr>
          <w:shd w:val="clear" w:color="auto" w:fill="FFFFFF"/>
        </w:rPr>
        <w:t xml:space="preserve"> Medium. </w:t>
      </w:r>
      <w:hyperlink r:id="rId26" w:history="1">
        <w:r>
          <w:rPr>
            <w:rStyle w:val="Hyperlink"/>
          </w:rPr>
          <w:t>https://towardsdatascience.com/optimizing-hyperparameters-in-random-forest-classification-ec7741f9d3f6</w:t>
        </w:r>
      </w:hyperlink>
    </w:p>
    <w:p w14:paraId="76B624B1" w14:textId="17322803" w:rsidR="00362BEA" w:rsidRDefault="00362BEA" w:rsidP="00FD14A9">
      <w:pPr>
        <w:ind w:left="720" w:hanging="720"/>
        <w:rPr>
          <w:shd w:val="clear" w:color="auto" w:fill="FFFFFF"/>
        </w:rPr>
      </w:pPr>
      <w:r w:rsidRPr="00362BEA">
        <w:rPr>
          <w:shd w:val="clear" w:color="auto" w:fill="FFFFFF"/>
        </w:rPr>
        <w:t xml:space="preserve">Nguyen, Q.C., </w:t>
      </w:r>
      <w:proofErr w:type="spellStart"/>
      <w:r w:rsidRPr="00362BEA">
        <w:rPr>
          <w:shd w:val="clear" w:color="auto" w:fill="FFFFFF"/>
        </w:rPr>
        <w:t>Brunisholz</w:t>
      </w:r>
      <w:proofErr w:type="spellEnd"/>
      <w:r w:rsidRPr="00362BEA">
        <w:rPr>
          <w:shd w:val="clear" w:color="auto" w:fill="FFFFFF"/>
        </w:rPr>
        <w:t xml:space="preserve">, K.D., Yu, W. et al. </w:t>
      </w:r>
      <w:r>
        <w:rPr>
          <w:shd w:val="clear" w:color="auto" w:fill="FFFFFF"/>
        </w:rPr>
        <w:t xml:space="preserve">(2017). </w:t>
      </w:r>
      <w:r w:rsidRPr="00362BEA">
        <w:rPr>
          <w:shd w:val="clear" w:color="auto" w:fill="FFFFFF"/>
        </w:rPr>
        <w:t xml:space="preserve">Twitter-derived neighborhood characteristics associated with obesity and diabetes. </w:t>
      </w:r>
      <w:r w:rsidRPr="00362BEA">
        <w:rPr>
          <w:i/>
          <w:iCs/>
          <w:shd w:val="clear" w:color="auto" w:fill="FFFFFF"/>
        </w:rPr>
        <w:t>Sci</w:t>
      </w:r>
      <w:r>
        <w:rPr>
          <w:i/>
          <w:iCs/>
          <w:shd w:val="clear" w:color="auto" w:fill="FFFFFF"/>
        </w:rPr>
        <w:t>entific</w:t>
      </w:r>
      <w:r w:rsidRPr="00362BEA">
        <w:rPr>
          <w:i/>
          <w:iCs/>
          <w:shd w:val="clear" w:color="auto" w:fill="FFFFFF"/>
        </w:rPr>
        <w:t xml:space="preserve"> Rep</w:t>
      </w:r>
      <w:r>
        <w:rPr>
          <w:i/>
          <w:iCs/>
          <w:shd w:val="clear" w:color="auto" w:fill="FFFFFF"/>
        </w:rPr>
        <w:t>orts,</w:t>
      </w:r>
      <w:r w:rsidRPr="00362BEA">
        <w:rPr>
          <w:i/>
          <w:iCs/>
          <w:shd w:val="clear" w:color="auto" w:fill="FFFFFF"/>
        </w:rPr>
        <w:t xml:space="preserve"> 7</w:t>
      </w:r>
      <w:r w:rsidRPr="00362BEA">
        <w:rPr>
          <w:shd w:val="clear" w:color="auto" w:fill="FFFFFF"/>
        </w:rPr>
        <w:t xml:space="preserve">, 16425. </w:t>
      </w:r>
      <w:hyperlink r:id="rId27" w:history="1">
        <w:r w:rsidRPr="00A846DF">
          <w:rPr>
            <w:rStyle w:val="Hyperlink"/>
            <w:shd w:val="clear" w:color="auto" w:fill="FFFFFF"/>
          </w:rPr>
          <w:t>https://doi.org/10.1038/s41598-017-16573-1</w:t>
        </w:r>
      </w:hyperlink>
      <w:r>
        <w:rPr>
          <w:shd w:val="clear" w:color="auto" w:fill="FFFFFF"/>
        </w:rPr>
        <w:t>.</w:t>
      </w:r>
    </w:p>
    <w:p w14:paraId="6FF4174F" w14:textId="765C1B04" w:rsidR="00FD14A9" w:rsidRPr="00FD14A9" w:rsidRDefault="009D3A08" w:rsidP="00FD14A9">
      <w:pPr>
        <w:ind w:left="720" w:hanging="720"/>
      </w:pPr>
      <w:proofErr w:type="spellStart"/>
      <w:r>
        <w:rPr>
          <w:shd w:val="clear" w:color="auto" w:fill="FFFFFF"/>
        </w:rPr>
        <w:t>Permentier</w:t>
      </w:r>
      <w:proofErr w:type="spellEnd"/>
      <w:r>
        <w:rPr>
          <w:shd w:val="clear" w:color="auto" w:fill="FFFFFF"/>
        </w:rPr>
        <w:t>, M., Bolt, G., &amp; van Ham, M. (2011).</w:t>
      </w:r>
      <w:r w:rsidR="00091E8E">
        <w:rPr>
          <w:shd w:val="clear" w:color="auto" w:fill="FFFFFF"/>
        </w:rPr>
        <w:t xml:space="preserve"> </w:t>
      </w:r>
      <w:r w:rsidR="00091E8E" w:rsidRPr="00091E8E">
        <w:rPr>
          <w:shd w:val="clear" w:color="auto" w:fill="FFFFFF"/>
        </w:rPr>
        <w:t>Determinants of neighbourhood satisfaction and perception of neighbourhood reputation</w:t>
      </w:r>
      <w:r>
        <w:rPr>
          <w:shd w:val="clear" w:color="auto" w:fill="FFFFFF"/>
        </w:rPr>
        <w:t>. </w:t>
      </w:r>
      <w:r>
        <w:rPr>
          <w:i/>
          <w:iCs/>
          <w:shd w:val="clear" w:color="auto" w:fill="FFFFFF"/>
        </w:rPr>
        <w:t>Urban Studies</w:t>
      </w:r>
      <w:r>
        <w:rPr>
          <w:shd w:val="clear" w:color="auto" w:fill="FFFFFF"/>
        </w:rPr>
        <w:t>, </w:t>
      </w:r>
      <w:r>
        <w:rPr>
          <w:i/>
          <w:iCs/>
          <w:shd w:val="clear" w:color="auto" w:fill="FFFFFF"/>
        </w:rPr>
        <w:t>48</w:t>
      </w:r>
      <w:r>
        <w:rPr>
          <w:shd w:val="clear" w:color="auto" w:fill="FFFFFF"/>
        </w:rPr>
        <w:t>(5), 977</w:t>
      </w:r>
      <w:r w:rsidR="00CE10F2">
        <w:rPr>
          <w:shd w:val="clear" w:color="auto" w:fill="FFFFFF"/>
        </w:rPr>
        <w:t>-</w:t>
      </w:r>
      <w:r>
        <w:rPr>
          <w:shd w:val="clear" w:color="auto" w:fill="FFFFFF"/>
        </w:rPr>
        <w:t xml:space="preserve">996. </w:t>
      </w:r>
      <w:hyperlink r:id="rId28" w:history="1">
        <w:r w:rsidR="006F738E" w:rsidRPr="00DF2AFA">
          <w:rPr>
            <w:rStyle w:val="Hyperlink"/>
            <w:shd w:val="clear" w:color="auto" w:fill="FFFFFF"/>
          </w:rPr>
          <w:t>https://doi.org/10.1177/0042098010367860</w:t>
        </w:r>
      </w:hyperlink>
      <w:r w:rsidR="00AE5E1E">
        <w:rPr>
          <w:shd w:val="clear" w:color="auto" w:fill="FFFFFF"/>
        </w:rPr>
        <w:t>.</w:t>
      </w:r>
    </w:p>
    <w:p w14:paraId="2524B97D" w14:textId="458AC177" w:rsidR="00091E8E" w:rsidRDefault="00091E8E" w:rsidP="006F738E">
      <w:pPr>
        <w:ind w:left="720" w:hanging="720"/>
      </w:pPr>
      <w:proofErr w:type="spellStart"/>
      <w:r w:rsidRPr="00091E8E">
        <w:t>Saeidi</w:t>
      </w:r>
      <w:proofErr w:type="spellEnd"/>
      <w:r w:rsidRPr="00091E8E">
        <w:t xml:space="preserve"> M</w:t>
      </w:r>
      <w:r>
        <w:t>.</w:t>
      </w:r>
      <w:r w:rsidRPr="00091E8E">
        <w:t>, Bouchard G</w:t>
      </w:r>
      <w:r>
        <w:t>.</w:t>
      </w:r>
      <w:r w:rsidRPr="00091E8E">
        <w:t xml:space="preserve">, </w:t>
      </w:r>
      <w:proofErr w:type="spellStart"/>
      <w:r w:rsidRPr="00091E8E">
        <w:t>Liakata</w:t>
      </w:r>
      <w:proofErr w:type="spellEnd"/>
      <w:r w:rsidRPr="00091E8E">
        <w:t xml:space="preserve"> M</w:t>
      </w:r>
      <w:r>
        <w:t>. &amp;</w:t>
      </w:r>
      <w:r w:rsidRPr="00091E8E">
        <w:t xml:space="preserve"> Riedel S. </w:t>
      </w:r>
      <w:r>
        <w:t xml:space="preserve">(2016). </w:t>
      </w:r>
      <w:proofErr w:type="spellStart"/>
      <w:r w:rsidRPr="00091E8E">
        <w:t>Sentihood</w:t>
      </w:r>
      <w:proofErr w:type="spellEnd"/>
      <w:r w:rsidRPr="00091E8E">
        <w:t>: targeted aspect</w:t>
      </w:r>
      <w:r>
        <w:t>-</w:t>
      </w:r>
      <w:r w:rsidRPr="00091E8E">
        <w:t xml:space="preserve">based sentiment analysis dataset for urban neighbourhoods. </w:t>
      </w:r>
      <w:r w:rsidRPr="00D738EA">
        <w:rPr>
          <w:i/>
          <w:iCs/>
        </w:rPr>
        <w:t>Proceedings of COLING 2016, the 26th international conference on computational linguistics: technical papers</w:t>
      </w:r>
      <w:r w:rsidR="00D738EA">
        <w:t>,</w:t>
      </w:r>
      <w:r w:rsidRPr="00091E8E">
        <w:t xml:space="preserve"> 1546–56.</w:t>
      </w:r>
    </w:p>
    <w:p w14:paraId="2F35A334" w14:textId="288E500E" w:rsidR="006F738E" w:rsidRDefault="006F738E" w:rsidP="006F738E">
      <w:pPr>
        <w:ind w:left="720" w:hanging="720"/>
        <w:rPr>
          <w:rStyle w:val="Hyperlink"/>
        </w:rPr>
      </w:pPr>
      <w:r>
        <w:t xml:space="preserve">Strong Neighbourhood Task Force. (2005). </w:t>
      </w:r>
      <w:r w:rsidRPr="006F738E">
        <w:rPr>
          <w:i/>
          <w:iCs/>
        </w:rPr>
        <w:t xml:space="preserve">Strong </w:t>
      </w:r>
      <w:r w:rsidR="00091E8E">
        <w:rPr>
          <w:i/>
          <w:iCs/>
        </w:rPr>
        <w:t>n</w:t>
      </w:r>
      <w:r w:rsidRPr="006F738E">
        <w:rPr>
          <w:i/>
          <w:iCs/>
        </w:rPr>
        <w:t xml:space="preserve">eighbourhoods – A </w:t>
      </w:r>
      <w:r w:rsidR="00091E8E">
        <w:rPr>
          <w:i/>
          <w:iCs/>
        </w:rPr>
        <w:t>c</w:t>
      </w:r>
      <w:r w:rsidRPr="006F738E">
        <w:rPr>
          <w:i/>
          <w:iCs/>
        </w:rPr>
        <w:t xml:space="preserve">all to </w:t>
      </w:r>
      <w:r w:rsidR="00091E8E">
        <w:rPr>
          <w:i/>
          <w:iCs/>
        </w:rPr>
        <w:t>a</w:t>
      </w:r>
      <w:r w:rsidRPr="006F738E">
        <w:rPr>
          <w:i/>
          <w:iCs/>
        </w:rPr>
        <w:t>ction</w:t>
      </w:r>
      <w:r w:rsidRPr="006F738E">
        <w:t xml:space="preserve">. </w:t>
      </w:r>
      <w:r>
        <w:t>Retrieved from the United Way Greater Toronto website:</w:t>
      </w:r>
      <w:r w:rsidRPr="006F738E">
        <w:t xml:space="preserve"> </w:t>
      </w:r>
      <w:hyperlink r:id="rId29" w:history="1">
        <w:r>
          <w:rPr>
            <w:rStyle w:val="Hyperlink"/>
          </w:rPr>
          <w:t>https://www.unitedwaygt.org/document.doc?id=61</w:t>
        </w:r>
      </w:hyperlink>
      <w:r w:rsidR="00AE5E1E" w:rsidRPr="00AE5E1E">
        <w:t>.</w:t>
      </w:r>
    </w:p>
    <w:p w14:paraId="38D4DD08" w14:textId="5EAE3295" w:rsidR="00FD14A9" w:rsidRDefault="00FD14A9" w:rsidP="006F738E">
      <w:pPr>
        <w:ind w:left="720" w:hanging="720"/>
      </w:pPr>
      <w:proofErr w:type="spellStart"/>
      <w:r w:rsidRPr="00FD14A9">
        <w:t>Tuhus</w:t>
      </w:r>
      <w:proofErr w:type="spellEnd"/>
      <w:r w:rsidRPr="00FD14A9">
        <w:t xml:space="preserve">-Dubrow, </w:t>
      </w:r>
      <w:r>
        <w:t>R</w:t>
      </w:r>
      <w:r w:rsidRPr="00FD14A9">
        <w:t>. (</w:t>
      </w:r>
      <w:r>
        <w:t>2014</w:t>
      </w:r>
      <w:r w:rsidRPr="00FD14A9">
        <w:t xml:space="preserve">, </w:t>
      </w:r>
      <w:r>
        <w:t>October</w:t>
      </w:r>
      <w:r w:rsidRPr="00FD14A9">
        <w:t xml:space="preserve"> </w:t>
      </w:r>
      <w:r>
        <w:t>21</w:t>
      </w:r>
      <w:r w:rsidRPr="00FD14A9">
        <w:t>). </w:t>
      </w:r>
      <w:r w:rsidRPr="00FD14A9">
        <w:rPr>
          <w:i/>
          <w:iCs/>
          <w:lang w:val="en-CA"/>
        </w:rPr>
        <w:t xml:space="preserve">Will Twitter </w:t>
      </w:r>
      <w:r w:rsidR="00091E8E">
        <w:rPr>
          <w:i/>
          <w:iCs/>
          <w:lang w:val="en-CA"/>
        </w:rPr>
        <w:t>r</w:t>
      </w:r>
      <w:r w:rsidRPr="00FD14A9">
        <w:rPr>
          <w:i/>
          <w:iCs/>
          <w:lang w:val="en-CA"/>
        </w:rPr>
        <w:t xml:space="preserve">evolutionize </w:t>
      </w:r>
      <w:r w:rsidR="00091E8E">
        <w:rPr>
          <w:i/>
          <w:iCs/>
          <w:lang w:val="en-CA"/>
        </w:rPr>
        <w:t>h</w:t>
      </w:r>
      <w:r w:rsidRPr="00FD14A9">
        <w:rPr>
          <w:i/>
          <w:iCs/>
          <w:lang w:val="en-CA"/>
        </w:rPr>
        <w:t xml:space="preserve">ow </w:t>
      </w:r>
      <w:r w:rsidR="00091E8E">
        <w:rPr>
          <w:i/>
          <w:iCs/>
          <w:lang w:val="en-CA"/>
        </w:rPr>
        <w:t>c</w:t>
      </w:r>
      <w:r w:rsidRPr="00FD14A9">
        <w:rPr>
          <w:i/>
          <w:iCs/>
          <w:lang w:val="en-CA"/>
        </w:rPr>
        <w:t xml:space="preserve">ities </w:t>
      </w:r>
      <w:r w:rsidR="00091E8E">
        <w:rPr>
          <w:i/>
          <w:iCs/>
          <w:lang w:val="en-CA"/>
        </w:rPr>
        <w:t>p</w:t>
      </w:r>
      <w:r w:rsidRPr="00FD14A9">
        <w:rPr>
          <w:i/>
          <w:iCs/>
          <w:lang w:val="en-CA"/>
        </w:rPr>
        <w:t xml:space="preserve">lan for the </w:t>
      </w:r>
      <w:r w:rsidR="00091E8E">
        <w:rPr>
          <w:i/>
          <w:iCs/>
          <w:lang w:val="en-CA"/>
        </w:rPr>
        <w:t>f</w:t>
      </w:r>
      <w:r w:rsidRPr="00FD14A9">
        <w:rPr>
          <w:i/>
          <w:iCs/>
          <w:lang w:val="en-CA"/>
        </w:rPr>
        <w:t>uture?</w:t>
      </w:r>
      <w:r w:rsidRPr="00FD14A9">
        <w:t xml:space="preserve"> </w:t>
      </w:r>
      <w:r>
        <w:t>Next City</w:t>
      </w:r>
      <w:r w:rsidRPr="00FD14A9">
        <w:t xml:space="preserve">. </w:t>
      </w:r>
      <w:hyperlink r:id="rId30" w:history="1">
        <w:r w:rsidRPr="000D3F32">
          <w:rPr>
            <w:rStyle w:val="Hyperlink"/>
          </w:rPr>
          <w:t>https://nextcity.org/daily/entry/urban-planning-twitter-social-media-data</w:t>
        </w:r>
      </w:hyperlink>
      <w:r w:rsidR="00AE5E1E" w:rsidRPr="00AE5E1E">
        <w:t>.</w:t>
      </w:r>
    </w:p>
    <w:p w14:paraId="5BD75412" w14:textId="77777777" w:rsidR="00362BEA" w:rsidRDefault="00362BEA" w:rsidP="006F738E">
      <w:pPr>
        <w:ind w:left="720" w:hanging="720"/>
      </w:pPr>
    </w:p>
    <w:sectPr w:rsidR="00362BEA">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DBDF1" w14:textId="77777777" w:rsidR="00DC1D01" w:rsidRDefault="00DC1D01" w:rsidP="009D3A08">
      <w:pPr>
        <w:spacing w:after="0" w:line="240" w:lineRule="auto"/>
      </w:pPr>
      <w:r>
        <w:separator/>
      </w:r>
    </w:p>
  </w:endnote>
  <w:endnote w:type="continuationSeparator" w:id="0">
    <w:p w14:paraId="548BD2FC" w14:textId="77777777" w:rsidR="00DC1D01" w:rsidRDefault="00DC1D01" w:rsidP="009D3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958542"/>
      <w:docPartObj>
        <w:docPartGallery w:val="Page Numbers (Bottom of Page)"/>
        <w:docPartUnique/>
      </w:docPartObj>
    </w:sdtPr>
    <w:sdtEndPr>
      <w:rPr>
        <w:noProof/>
      </w:rPr>
    </w:sdtEndPr>
    <w:sdtContent>
      <w:p w14:paraId="055864A4" w14:textId="109D76EA" w:rsidR="00D53533" w:rsidRDefault="00D535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B7B515" w14:textId="77777777" w:rsidR="00D53533" w:rsidRDefault="00D5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C159" w14:textId="77777777" w:rsidR="00DC1D01" w:rsidRDefault="00DC1D01" w:rsidP="009D3A08">
      <w:pPr>
        <w:spacing w:after="0" w:line="240" w:lineRule="auto"/>
      </w:pPr>
      <w:r>
        <w:separator/>
      </w:r>
    </w:p>
  </w:footnote>
  <w:footnote w:type="continuationSeparator" w:id="0">
    <w:p w14:paraId="14EC7989" w14:textId="77777777" w:rsidR="00DC1D01" w:rsidRDefault="00DC1D01" w:rsidP="009D3A08">
      <w:pPr>
        <w:spacing w:after="0" w:line="240" w:lineRule="auto"/>
      </w:pPr>
      <w:r>
        <w:continuationSeparator/>
      </w:r>
    </w:p>
  </w:footnote>
  <w:footnote w:id="1">
    <w:p w14:paraId="733199FD" w14:textId="17DE5B8C" w:rsidR="00D53533" w:rsidRDefault="00D53533">
      <w:pPr>
        <w:pStyle w:val="FootnoteText"/>
      </w:pPr>
      <w:r>
        <w:rPr>
          <w:rStyle w:val="FootnoteReference"/>
        </w:rPr>
        <w:footnoteRef/>
      </w:r>
      <w:r>
        <w:t xml:space="preserve"> </w:t>
      </w:r>
      <w:hyperlink r:id="rId1" w:history="1">
        <w:r w:rsidRPr="00DF2AFA">
          <w:rPr>
            <w:rStyle w:val="Hyperlink"/>
          </w:rPr>
          <w:t>https://www.edmonton.ca/projects_plans/communities_neighbourhoods/neighbourhood-revitalization.aspx</w:t>
        </w:r>
      </w:hyperlink>
      <w:r>
        <w:t xml:space="preserve"> </w:t>
      </w:r>
    </w:p>
  </w:footnote>
  <w:footnote w:id="2">
    <w:p w14:paraId="280D8684" w14:textId="0B55E44B" w:rsidR="00D53533" w:rsidRDefault="00D53533">
      <w:pPr>
        <w:pStyle w:val="FootnoteText"/>
      </w:pPr>
      <w:r>
        <w:rPr>
          <w:rStyle w:val="FootnoteReference"/>
        </w:rPr>
        <w:footnoteRef/>
      </w:r>
      <w:r>
        <w:t xml:space="preserve"> </w:t>
      </w:r>
      <w:hyperlink r:id="rId2" w:history="1">
        <w:r>
          <w:rPr>
            <w:rStyle w:val="Hyperlink"/>
          </w:rPr>
          <w:t>https://www.saskatoon.ca/engage/2018-civic-surveys-results</w:t>
        </w:r>
      </w:hyperlink>
    </w:p>
  </w:footnote>
  <w:footnote w:id="3">
    <w:p w14:paraId="12861E2D" w14:textId="7B5B1231" w:rsidR="00D53533" w:rsidRDefault="00D53533">
      <w:pPr>
        <w:pStyle w:val="FootnoteText"/>
      </w:pPr>
      <w:r>
        <w:rPr>
          <w:rStyle w:val="FootnoteReference"/>
        </w:rPr>
        <w:footnoteRef/>
      </w:r>
      <w:r>
        <w:t xml:space="preserve"> </w:t>
      </w:r>
      <w:hyperlink r:id="rId3" w:history="1">
        <w:r>
          <w:rPr>
            <w:rStyle w:val="Hyperlink"/>
          </w:rPr>
          <w:t>https://www.washingtonpost.com/technology/2019/02/07/twitter-reveals-its-daily-active-user-numbers-first-time/</w:t>
        </w:r>
      </w:hyperlink>
    </w:p>
  </w:footnote>
  <w:footnote w:id="4">
    <w:p w14:paraId="698BABA0" w14:textId="4E998D65" w:rsidR="00D53533" w:rsidRDefault="00D53533">
      <w:pPr>
        <w:pStyle w:val="FootnoteText"/>
      </w:pPr>
      <w:r>
        <w:rPr>
          <w:rStyle w:val="FootnoteReference"/>
        </w:rPr>
        <w:footnoteRef/>
      </w:r>
      <w:r>
        <w:t xml:space="preserve"> </w:t>
      </w:r>
      <w:hyperlink r:id="rId4" w:history="1">
        <w:r>
          <w:rPr>
            <w:rStyle w:val="Hyperlink"/>
          </w:rPr>
          <w:t>https://sites.tufts.edu/ualab/</w:t>
        </w:r>
      </w:hyperlink>
    </w:p>
  </w:footnote>
  <w:footnote w:id="5">
    <w:p w14:paraId="55810230" w14:textId="3D374453" w:rsidR="00D53533" w:rsidRDefault="00D53533">
      <w:pPr>
        <w:pStyle w:val="FootnoteText"/>
      </w:pPr>
      <w:r>
        <w:rPr>
          <w:rStyle w:val="FootnoteReference"/>
        </w:rPr>
        <w:footnoteRef/>
      </w:r>
      <w:r>
        <w:t xml:space="preserve"> </w:t>
      </w:r>
      <w:hyperlink r:id="rId5" w:history="1">
        <w:r>
          <w:rPr>
            <w:rStyle w:val="Hyperlink"/>
          </w:rPr>
          <w:t>https://www.tweepy.org/</w:t>
        </w:r>
      </w:hyperlink>
    </w:p>
  </w:footnote>
  <w:footnote w:id="6">
    <w:p w14:paraId="628DE91C" w14:textId="33B77932" w:rsidR="00D53533" w:rsidRDefault="00D53533">
      <w:pPr>
        <w:pStyle w:val="FootnoteText"/>
      </w:pPr>
      <w:r>
        <w:rPr>
          <w:rStyle w:val="FootnoteReference"/>
        </w:rPr>
        <w:footnoteRef/>
      </w:r>
      <w:r>
        <w:t xml:space="preserve"> </w:t>
      </w:r>
      <w:hyperlink r:id="rId6" w:history="1">
        <w:r>
          <w:rPr>
            <w:rStyle w:val="Hyperlink"/>
          </w:rPr>
          <w:t>https://developer.twitter.com/en/docs</w:t>
        </w:r>
      </w:hyperlink>
    </w:p>
  </w:footnote>
  <w:footnote w:id="7">
    <w:p w14:paraId="1ABFD407" w14:textId="77777777" w:rsidR="00D53533" w:rsidRDefault="00D53533" w:rsidP="00464837">
      <w:pPr>
        <w:pStyle w:val="FootnoteText"/>
      </w:pPr>
      <w:r>
        <w:rPr>
          <w:rStyle w:val="FootnoteReference"/>
        </w:rPr>
        <w:footnoteRef/>
      </w:r>
      <w:r>
        <w:t xml:space="preserve"> </w:t>
      </w:r>
      <w:hyperlink r:id="rId7" w:history="1">
        <w:r>
          <w:rPr>
            <w:rStyle w:val="Hyperlink"/>
          </w:rPr>
          <w:t>https://www.who.int/emergencies/diseases/novel-coronavirus-2019</w:t>
        </w:r>
      </w:hyperlink>
    </w:p>
  </w:footnote>
  <w:footnote w:id="8">
    <w:p w14:paraId="419B7002" w14:textId="09178670" w:rsidR="00D53533" w:rsidRDefault="00D53533">
      <w:pPr>
        <w:pStyle w:val="FootnoteText"/>
      </w:pPr>
      <w:r>
        <w:rPr>
          <w:rStyle w:val="FootnoteReference"/>
        </w:rPr>
        <w:footnoteRef/>
      </w:r>
      <w:r>
        <w:t xml:space="preserve"> </w:t>
      </w:r>
      <w:hyperlink r:id="rId8" w:history="1">
        <w:r>
          <w:rPr>
            <w:rStyle w:val="Hyperlink"/>
          </w:rPr>
          <w:t>http://help.sentiment140.com/for-students</w:t>
        </w:r>
      </w:hyperlink>
    </w:p>
  </w:footnote>
  <w:footnote w:id="9">
    <w:p w14:paraId="4CB43888" w14:textId="77777777" w:rsidR="00D53533" w:rsidRDefault="00D53533" w:rsidP="00B57812">
      <w:pPr>
        <w:pStyle w:val="FootnoteText"/>
      </w:pPr>
      <w:r>
        <w:rPr>
          <w:rStyle w:val="FootnoteReference"/>
        </w:rPr>
        <w:footnoteRef/>
      </w:r>
      <w:r>
        <w:t xml:space="preserve"> </w:t>
      </w:r>
      <w:hyperlink r:id="rId9" w:history="1">
        <w:r>
          <w:rPr>
            <w:rStyle w:val="Hyperlink"/>
          </w:rPr>
          <w:t>http://www.nltk.org/</w:t>
        </w:r>
      </w:hyperlink>
      <w:r>
        <w:t xml:space="preserve"> </w:t>
      </w:r>
    </w:p>
  </w:footnote>
  <w:footnote w:id="10">
    <w:p w14:paraId="7A1736D0" w14:textId="27D1589C" w:rsidR="00D53533" w:rsidRDefault="00D53533">
      <w:pPr>
        <w:pStyle w:val="FootnoteText"/>
      </w:pPr>
      <w:r>
        <w:rPr>
          <w:rStyle w:val="FootnoteReference"/>
        </w:rPr>
        <w:footnoteRef/>
      </w:r>
      <w:r>
        <w:t xml:space="preserve"> </w:t>
      </w:r>
      <w:hyperlink r:id="rId10" w:history="1">
        <w:r>
          <w:rPr>
            <w:rStyle w:val="Hyperlink"/>
          </w:rPr>
          <w:t>https://www.nltk.org/_modules/nltk/stem/wordnet.html</w:t>
        </w:r>
      </w:hyperlink>
    </w:p>
  </w:footnote>
  <w:footnote w:id="11">
    <w:p w14:paraId="38E98C21" w14:textId="77777777" w:rsidR="00D53533" w:rsidRDefault="00D53533" w:rsidP="00B57812">
      <w:pPr>
        <w:pStyle w:val="FootnoteText"/>
      </w:pPr>
      <w:r>
        <w:rPr>
          <w:rStyle w:val="FootnoteReference"/>
        </w:rPr>
        <w:footnoteRef/>
      </w:r>
      <w:r>
        <w:t xml:space="preserve"> </w:t>
      </w:r>
      <w:hyperlink r:id="rId11" w:history="1">
        <w:r>
          <w:rPr>
            <w:rStyle w:val="Hyperlink"/>
          </w:rPr>
          <w:t>https://pypi.org/project/emoji/</w:t>
        </w:r>
      </w:hyperlink>
      <w:r>
        <w:t xml:space="preserve"> </w:t>
      </w:r>
    </w:p>
  </w:footnote>
  <w:footnote w:id="12">
    <w:p w14:paraId="5FC8DD94" w14:textId="2D8AB5D7" w:rsidR="00D53533" w:rsidRDefault="00D53533">
      <w:pPr>
        <w:pStyle w:val="FootnoteText"/>
      </w:pPr>
      <w:r>
        <w:rPr>
          <w:rStyle w:val="FootnoteReference"/>
        </w:rPr>
        <w:footnoteRef/>
      </w:r>
      <w:r>
        <w:t xml:space="preserve"> </w:t>
      </w:r>
      <w:hyperlink r:id="rId12" w:anchor="module-sklearn.feature_extraction" w:history="1">
        <w:r w:rsidRPr="00A846DF">
          <w:rPr>
            <w:rStyle w:val="Hyperlink"/>
          </w:rPr>
          <w:t>https://scikit-learn.org/stable/modules/classes.html?highlight=feature%20extraction#module-sklearn.feature_extraction</w:t>
        </w:r>
      </w:hyperlink>
      <w:r>
        <w:t xml:space="preserve"> </w:t>
      </w:r>
    </w:p>
  </w:footnote>
  <w:footnote w:id="13">
    <w:p w14:paraId="1C83F755" w14:textId="54CFA712" w:rsidR="00D53533" w:rsidRDefault="00D53533">
      <w:pPr>
        <w:pStyle w:val="FootnoteText"/>
      </w:pPr>
      <w:r>
        <w:rPr>
          <w:rStyle w:val="FootnoteReference"/>
        </w:rPr>
        <w:footnoteRef/>
      </w:r>
      <w:r>
        <w:t xml:space="preserve"> </w:t>
      </w:r>
      <w:hyperlink r:id="rId13" w:history="1">
        <w:r>
          <w:rPr>
            <w:rStyle w:val="Hyperlink"/>
          </w:rPr>
          <w:t>https://scikit-learn.org/stable/modules/feature_extraction.html</w:t>
        </w:r>
      </w:hyperlink>
    </w:p>
  </w:footnote>
  <w:footnote w:id="14">
    <w:p w14:paraId="0121720A" w14:textId="0EE13E26" w:rsidR="00D53533" w:rsidRDefault="00D53533">
      <w:pPr>
        <w:pStyle w:val="FootnoteText"/>
      </w:pPr>
      <w:r>
        <w:rPr>
          <w:rStyle w:val="FootnoteReference"/>
        </w:rPr>
        <w:footnoteRef/>
      </w:r>
      <w:r>
        <w:t xml:space="preserve"> </w:t>
      </w:r>
      <w:hyperlink r:id="rId14" w:anchor="exhaustive-grid-search" w:history="1">
        <w:r>
          <w:rPr>
            <w:rStyle w:val="Hyperlink"/>
          </w:rPr>
          <w:t>https://scikit-learn.org/stable/modules/grid_search.html#exhaustive-grid-search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2B09"/>
    <w:multiLevelType w:val="hybridMultilevel"/>
    <w:tmpl w:val="5510DB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687640F"/>
    <w:multiLevelType w:val="hybridMultilevel"/>
    <w:tmpl w:val="84F4252A"/>
    <w:lvl w:ilvl="0" w:tplc="10090001">
      <w:start w:val="1"/>
      <w:numFmt w:val="bullet"/>
      <w:lvlText w:val=""/>
      <w:lvlJc w:val="left"/>
      <w:pPr>
        <w:ind w:left="1080" w:hanging="360"/>
      </w:pPr>
      <w:rPr>
        <w:rFonts w:ascii="Symbol" w:hAnsi="Symbol" w:hint="default"/>
      </w:rPr>
    </w:lvl>
    <w:lvl w:ilvl="1" w:tplc="10090005">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B0A0841"/>
    <w:multiLevelType w:val="hybridMultilevel"/>
    <w:tmpl w:val="A952540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939711C"/>
    <w:multiLevelType w:val="hybridMultilevel"/>
    <w:tmpl w:val="2F507C2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A0F6D73"/>
    <w:multiLevelType w:val="hybridMultilevel"/>
    <w:tmpl w:val="24CAC3F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7181"/>
    <w:rsid w:val="00020C2C"/>
    <w:rsid w:val="00080328"/>
    <w:rsid w:val="00091194"/>
    <w:rsid w:val="00091E8E"/>
    <w:rsid w:val="000A1B9A"/>
    <w:rsid w:val="000A6185"/>
    <w:rsid w:val="000B155F"/>
    <w:rsid w:val="000C37E5"/>
    <w:rsid w:val="000E775B"/>
    <w:rsid w:val="000F3599"/>
    <w:rsid w:val="000F5793"/>
    <w:rsid w:val="000F5AEF"/>
    <w:rsid w:val="0010388E"/>
    <w:rsid w:val="00122C09"/>
    <w:rsid w:val="00123F17"/>
    <w:rsid w:val="001350C0"/>
    <w:rsid w:val="00146815"/>
    <w:rsid w:val="00152997"/>
    <w:rsid w:val="00154625"/>
    <w:rsid w:val="00175A63"/>
    <w:rsid w:val="0017660C"/>
    <w:rsid w:val="002428FC"/>
    <w:rsid w:val="002B4DAF"/>
    <w:rsid w:val="002C2E24"/>
    <w:rsid w:val="002E7C10"/>
    <w:rsid w:val="00316EEE"/>
    <w:rsid w:val="00321627"/>
    <w:rsid w:val="00331C15"/>
    <w:rsid w:val="0033375A"/>
    <w:rsid w:val="00346CF4"/>
    <w:rsid w:val="00353A19"/>
    <w:rsid w:val="00362BEA"/>
    <w:rsid w:val="00370968"/>
    <w:rsid w:val="00382B86"/>
    <w:rsid w:val="00394B17"/>
    <w:rsid w:val="003A2A94"/>
    <w:rsid w:val="003A6982"/>
    <w:rsid w:val="003C6CE3"/>
    <w:rsid w:val="003F3221"/>
    <w:rsid w:val="003F6661"/>
    <w:rsid w:val="00430840"/>
    <w:rsid w:val="004511CD"/>
    <w:rsid w:val="004540D8"/>
    <w:rsid w:val="00454853"/>
    <w:rsid w:val="00464837"/>
    <w:rsid w:val="004814FA"/>
    <w:rsid w:val="004911EE"/>
    <w:rsid w:val="00495668"/>
    <w:rsid w:val="004A0881"/>
    <w:rsid w:val="004B09DC"/>
    <w:rsid w:val="004B32B1"/>
    <w:rsid w:val="004D4280"/>
    <w:rsid w:val="004E68F5"/>
    <w:rsid w:val="0050280E"/>
    <w:rsid w:val="0050332E"/>
    <w:rsid w:val="00513E03"/>
    <w:rsid w:val="0051697F"/>
    <w:rsid w:val="0053242A"/>
    <w:rsid w:val="00547ECA"/>
    <w:rsid w:val="00571398"/>
    <w:rsid w:val="005864D7"/>
    <w:rsid w:val="005A3F07"/>
    <w:rsid w:val="005A5160"/>
    <w:rsid w:val="005F74F1"/>
    <w:rsid w:val="00602722"/>
    <w:rsid w:val="00603097"/>
    <w:rsid w:val="006256A5"/>
    <w:rsid w:val="00625A31"/>
    <w:rsid w:val="00651792"/>
    <w:rsid w:val="00683C00"/>
    <w:rsid w:val="006A4DEF"/>
    <w:rsid w:val="006C3175"/>
    <w:rsid w:val="006D2619"/>
    <w:rsid w:val="006E3E84"/>
    <w:rsid w:val="006E4322"/>
    <w:rsid w:val="006E54C3"/>
    <w:rsid w:val="006F126E"/>
    <w:rsid w:val="006F738E"/>
    <w:rsid w:val="007029FA"/>
    <w:rsid w:val="00705DD0"/>
    <w:rsid w:val="0071261F"/>
    <w:rsid w:val="007329B2"/>
    <w:rsid w:val="00735E83"/>
    <w:rsid w:val="007400DE"/>
    <w:rsid w:val="00742AD0"/>
    <w:rsid w:val="00747EA2"/>
    <w:rsid w:val="00750FE4"/>
    <w:rsid w:val="007631AC"/>
    <w:rsid w:val="007718B4"/>
    <w:rsid w:val="00771E93"/>
    <w:rsid w:val="00780C50"/>
    <w:rsid w:val="007839D6"/>
    <w:rsid w:val="007A222F"/>
    <w:rsid w:val="007B7E03"/>
    <w:rsid w:val="007C3769"/>
    <w:rsid w:val="007C637A"/>
    <w:rsid w:val="007D0CC1"/>
    <w:rsid w:val="007D6247"/>
    <w:rsid w:val="007E4CBD"/>
    <w:rsid w:val="007E66DA"/>
    <w:rsid w:val="007F5DB2"/>
    <w:rsid w:val="00813378"/>
    <w:rsid w:val="00835B3F"/>
    <w:rsid w:val="00867FE5"/>
    <w:rsid w:val="0087570C"/>
    <w:rsid w:val="00881C19"/>
    <w:rsid w:val="00884A08"/>
    <w:rsid w:val="00893004"/>
    <w:rsid w:val="00894113"/>
    <w:rsid w:val="008A380D"/>
    <w:rsid w:val="008A3C45"/>
    <w:rsid w:val="008D3F96"/>
    <w:rsid w:val="008D62C0"/>
    <w:rsid w:val="008E2761"/>
    <w:rsid w:val="008F6531"/>
    <w:rsid w:val="0090309A"/>
    <w:rsid w:val="00905940"/>
    <w:rsid w:val="009109B5"/>
    <w:rsid w:val="009609FE"/>
    <w:rsid w:val="009A5B5A"/>
    <w:rsid w:val="009A6179"/>
    <w:rsid w:val="009B33F7"/>
    <w:rsid w:val="009C0DB6"/>
    <w:rsid w:val="009C4EC5"/>
    <w:rsid w:val="009D01C3"/>
    <w:rsid w:val="009D03BF"/>
    <w:rsid w:val="009D3A08"/>
    <w:rsid w:val="009F5252"/>
    <w:rsid w:val="00A07255"/>
    <w:rsid w:val="00A1073D"/>
    <w:rsid w:val="00A272D6"/>
    <w:rsid w:val="00A4056E"/>
    <w:rsid w:val="00A465BC"/>
    <w:rsid w:val="00A52848"/>
    <w:rsid w:val="00A540F6"/>
    <w:rsid w:val="00A70781"/>
    <w:rsid w:val="00A728B4"/>
    <w:rsid w:val="00A75062"/>
    <w:rsid w:val="00A85967"/>
    <w:rsid w:val="00A87072"/>
    <w:rsid w:val="00A90511"/>
    <w:rsid w:val="00A9649C"/>
    <w:rsid w:val="00AA4797"/>
    <w:rsid w:val="00AC2C87"/>
    <w:rsid w:val="00AC6224"/>
    <w:rsid w:val="00AC6441"/>
    <w:rsid w:val="00AE1A0D"/>
    <w:rsid w:val="00AE5E1E"/>
    <w:rsid w:val="00B23765"/>
    <w:rsid w:val="00B30B7C"/>
    <w:rsid w:val="00B31F8A"/>
    <w:rsid w:val="00B34773"/>
    <w:rsid w:val="00B42CD7"/>
    <w:rsid w:val="00B5330A"/>
    <w:rsid w:val="00B57812"/>
    <w:rsid w:val="00B676B4"/>
    <w:rsid w:val="00BA5610"/>
    <w:rsid w:val="00BB2D18"/>
    <w:rsid w:val="00BE5A3E"/>
    <w:rsid w:val="00BF357C"/>
    <w:rsid w:val="00BF5587"/>
    <w:rsid w:val="00C009BC"/>
    <w:rsid w:val="00C0528B"/>
    <w:rsid w:val="00C0733D"/>
    <w:rsid w:val="00C07ACA"/>
    <w:rsid w:val="00C15465"/>
    <w:rsid w:val="00C1604B"/>
    <w:rsid w:val="00C169D1"/>
    <w:rsid w:val="00C231E2"/>
    <w:rsid w:val="00C324CB"/>
    <w:rsid w:val="00C35FCD"/>
    <w:rsid w:val="00C4331A"/>
    <w:rsid w:val="00C44378"/>
    <w:rsid w:val="00C5694C"/>
    <w:rsid w:val="00C61510"/>
    <w:rsid w:val="00C67C2D"/>
    <w:rsid w:val="00C72DA4"/>
    <w:rsid w:val="00C76C53"/>
    <w:rsid w:val="00C816FD"/>
    <w:rsid w:val="00C84684"/>
    <w:rsid w:val="00CA02EF"/>
    <w:rsid w:val="00CC1EE1"/>
    <w:rsid w:val="00CC47DC"/>
    <w:rsid w:val="00CC62BC"/>
    <w:rsid w:val="00CC6A77"/>
    <w:rsid w:val="00CC6C99"/>
    <w:rsid w:val="00CD0369"/>
    <w:rsid w:val="00CD44E0"/>
    <w:rsid w:val="00CE10F2"/>
    <w:rsid w:val="00CE43F5"/>
    <w:rsid w:val="00CF6F8B"/>
    <w:rsid w:val="00D245BA"/>
    <w:rsid w:val="00D4105E"/>
    <w:rsid w:val="00D53533"/>
    <w:rsid w:val="00D54877"/>
    <w:rsid w:val="00D63BB8"/>
    <w:rsid w:val="00D7029E"/>
    <w:rsid w:val="00D7217B"/>
    <w:rsid w:val="00D738EA"/>
    <w:rsid w:val="00D833EC"/>
    <w:rsid w:val="00D87F34"/>
    <w:rsid w:val="00D9252C"/>
    <w:rsid w:val="00D93973"/>
    <w:rsid w:val="00D97199"/>
    <w:rsid w:val="00DA1DD1"/>
    <w:rsid w:val="00DA6822"/>
    <w:rsid w:val="00DB5D3A"/>
    <w:rsid w:val="00DC1D01"/>
    <w:rsid w:val="00DC5EC7"/>
    <w:rsid w:val="00DD1920"/>
    <w:rsid w:val="00DE2460"/>
    <w:rsid w:val="00DE467A"/>
    <w:rsid w:val="00DE7800"/>
    <w:rsid w:val="00E06738"/>
    <w:rsid w:val="00E34467"/>
    <w:rsid w:val="00E47684"/>
    <w:rsid w:val="00E561E5"/>
    <w:rsid w:val="00E64340"/>
    <w:rsid w:val="00E64500"/>
    <w:rsid w:val="00E65683"/>
    <w:rsid w:val="00E65964"/>
    <w:rsid w:val="00E82A79"/>
    <w:rsid w:val="00EA6747"/>
    <w:rsid w:val="00EC4BA1"/>
    <w:rsid w:val="00EC5DA9"/>
    <w:rsid w:val="00ED2EF2"/>
    <w:rsid w:val="00EE0602"/>
    <w:rsid w:val="00EF76EC"/>
    <w:rsid w:val="00F005BD"/>
    <w:rsid w:val="00F048F2"/>
    <w:rsid w:val="00F14A72"/>
    <w:rsid w:val="00F216D8"/>
    <w:rsid w:val="00F3038B"/>
    <w:rsid w:val="00F327B7"/>
    <w:rsid w:val="00F375F8"/>
    <w:rsid w:val="00F65834"/>
    <w:rsid w:val="00F754BE"/>
    <w:rsid w:val="00F834AB"/>
    <w:rsid w:val="00F963FC"/>
    <w:rsid w:val="00FA0285"/>
    <w:rsid w:val="00FC1251"/>
    <w:rsid w:val="00FD14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4A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216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9D3A08"/>
    <w:rPr>
      <w:color w:val="0000FF"/>
      <w:u w:val="single"/>
    </w:rPr>
  </w:style>
  <w:style w:type="paragraph" w:styleId="FootnoteText">
    <w:name w:val="footnote text"/>
    <w:basedOn w:val="Normal"/>
    <w:link w:val="FootnoteTextChar"/>
    <w:uiPriority w:val="99"/>
    <w:semiHidden/>
    <w:unhideWhenUsed/>
    <w:rsid w:val="009D3A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A08"/>
    <w:rPr>
      <w:sz w:val="20"/>
      <w:szCs w:val="20"/>
    </w:rPr>
  </w:style>
  <w:style w:type="character" w:styleId="FootnoteReference">
    <w:name w:val="footnote reference"/>
    <w:basedOn w:val="DefaultParagraphFont"/>
    <w:uiPriority w:val="99"/>
    <w:semiHidden/>
    <w:unhideWhenUsed/>
    <w:rsid w:val="009D3A08"/>
    <w:rPr>
      <w:vertAlign w:val="superscript"/>
    </w:rPr>
  </w:style>
  <w:style w:type="character" w:styleId="UnresolvedMention">
    <w:name w:val="Unresolved Mention"/>
    <w:basedOn w:val="DefaultParagraphFont"/>
    <w:uiPriority w:val="99"/>
    <w:semiHidden/>
    <w:unhideWhenUsed/>
    <w:rsid w:val="009D3A08"/>
    <w:rPr>
      <w:color w:val="605E5C"/>
      <w:shd w:val="clear" w:color="auto" w:fill="E1DFDD"/>
    </w:rPr>
  </w:style>
  <w:style w:type="paragraph" w:styleId="ListParagraph">
    <w:name w:val="List Paragraph"/>
    <w:basedOn w:val="Normal"/>
    <w:uiPriority w:val="34"/>
    <w:qFormat/>
    <w:rsid w:val="00E47684"/>
    <w:pPr>
      <w:ind w:left="720"/>
      <w:contextualSpacing/>
    </w:pPr>
  </w:style>
  <w:style w:type="character" w:styleId="FollowedHyperlink">
    <w:name w:val="FollowedHyperlink"/>
    <w:basedOn w:val="DefaultParagraphFont"/>
    <w:uiPriority w:val="99"/>
    <w:semiHidden/>
    <w:unhideWhenUsed/>
    <w:rsid w:val="00091E8E"/>
    <w:rPr>
      <w:color w:val="800080" w:themeColor="followedHyperlink"/>
      <w:u w:val="single"/>
    </w:rPr>
  </w:style>
  <w:style w:type="character" w:customStyle="1" w:styleId="Heading3Char">
    <w:name w:val="Heading 3 Char"/>
    <w:basedOn w:val="DefaultParagraphFont"/>
    <w:link w:val="Heading3"/>
    <w:uiPriority w:val="9"/>
    <w:semiHidden/>
    <w:rsid w:val="00F14A7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64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37"/>
  </w:style>
  <w:style w:type="paragraph" w:styleId="Footer">
    <w:name w:val="footer"/>
    <w:basedOn w:val="Normal"/>
    <w:link w:val="FooterChar"/>
    <w:uiPriority w:val="99"/>
    <w:unhideWhenUsed/>
    <w:rsid w:val="00464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37"/>
  </w:style>
  <w:style w:type="character" w:customStyle="1" w:styleId="Heading4Char">
    <w:name w:val="Heading 4 Char"/>
    <w:basedOn w:val="DefaultParagraphFont"/>
    <w:link w:val="Heading4"/>
    <w:uiPriority w:val="9"/>
    <w:semiHidden/>
    <w:rsid w:val="00F216D8"/>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50280E"/>
    <w:pPr>
      <w:spacing w:line="240" w:lineRule="auto"/>
    </w:pPr>
    <w:rPr>
      <w:i/>
      <w:iCs/>
      <w:color w:val="1F497D" w:themeColor="text2"/>
      <w:sz w:val="18"/>
      <w:szCs w:val="18"/>
    </w:rPr>
  </w:style>
  <w:style w:type="table" w:styleId="TableGrid">
    <w:name w:val="Table Grid"/>
    <w:basedOn w:val="TableNormal"/>
    <w:uiPriority w:val="59"/>
    <w:rsid w:val="00D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7361">
      <w:bodyDiv w:val="1"/>
      <w:marLeft w:val="0"/>
      <w:marRight w:val="0"/>
      <w:marTop w:val="0"/>
      <w:marBottom w:val="0"/>
      <w:divBdr>
        <w:top w:val="none" w:sz="0" w:space="0" w:color="auto"/>
        <w:left w:val="none" w:sz="0" w:space="0" w:color="auto"/>
        <w:bottom w:val="none" w:sz="0" w:space="0" w:color="auto"/>
        <w:right w:val="none" w:sz="0" w:space="0" w:color="auto"/>
      </w:divBdr>
    </w:div>
    <w:div w:id="168377222">
      <w:bodyDiv w:val="1"/>
      <w:marLeft w:val="0"/>
      <w:marRight w:val="0"/>
      <w:marTop w:val="0"/>
      <w:marBottom w:val="0"/>
      <w:divBdr>
        <w:top w:val="none" w:sz="0" w:space="0" w:color="auto"/>
        <w:left w:val="none" w:sz="0" w:space="0" w:color="auto"/>
        <w:bottom w:val="none" w:sz="0" w:space="0" w:color="auto"/>
        <w:right w:val="none" w:sz="0" w:space="0" w:color="auto"/>
      </w:divBdr>
    </w:div>
    <w:div w:id="281114341">
      <w:bodyDiv w:val="1"/>
      <w:marLeft w:val="0"/>
      <w:marRight w:val="0"/>
      <w:marTop w:val="0"/>
      <w:marBottom w:val="0"/>
      <w:divBdr>
        <w:top w:val="none" w:sz="0" w:space="0" w:color="auto"/>
        <w:left w:val="none" w:sz="0" w:space="0" w:color="auto"/>
        <w:bottom w:val="none" w:sz="0" w:space="0" w:color="auto"/>
        <w:right w:val="none" w:sz="0" w:space="0" w:color="auto"/>
      </w:divBdr>
    </w:div>
    <w:div w:id="514343840">
      <w:bodyDiv w:val="1"/>
      <w:marLeft w:val="0"/>
      <w:marRight w:val="0"/>
      <w:marTop w:val="0"/>
      <w:marBottom w:val="0"/>
      <w:divBdr>
        <w:top w:val="none" w:sz="0" w:space="0" w:color="auto"/>
        <w:left w:val="none" w:sz="0" w:space="0" w:color="auto"/>
        <w:bottom w:val="none" w:sz="0" w:space="0" w:color="auto"/>
        <w:right w:val="none" w:sz="0" w:space="0" w:color="auto"/>
      </w:divBdr>
    </w:div>
    <w:div w:id="722141443">
      <w:bodyDiv w:val="1"/>
      <w:marLeft w:val="0"/>
      <w:marRight w:val="0"/>
      <w:marTop w:val="0"/>
      <w:marBottom w:val="0"/>
      <w:divBdr>
        <w:top w:val="none" w:sz="0" w:space="0" w:color="auto"/>
        <w:left w:val="none" w:sz="0" w:space="0" w:color="auto"/>
        <w:bottom w:val="none" w:sz="0" w:space="0" w:color="auto"/>
        <w:right w:val="none" w:sz="0" w:space="0" w:color="auto"/>
      </w:divBdr>
    </w:div>
    <w:div w:id="946544110">
      <w:bodyDiv w:val="1"/>
      <w:marLeft w:val="0"/>
      <w:marRight w:val="0"/>
      <w:marTop w:val="0"/>
      <w:marBottom w:val="0"/>
      <w:divBdr>
        <w:top w:val="none" w:sz="0" w:space="0" w:color="auto"/>
        <w:left w:val="none" w:sz="0" w:space="0" w:color="auto"/>
        <w:bottom w:val="none" w:sz="0" w:space="0" w:color="auto"/>
        <w:right w:val="none" w:sz="0" w:space="0" w:color="auto"/>
      </w:divBdr>
    </w:div>
    <w:div w:id="1097948086">
      <w:bodyDiv w:val="1"/>
      <w:marLeft w:val="0"/>
      <w:marRight w:val="0"/>
      <w:marTop w:val="0"/>
      <w:marBottom w:val="0"/>
      <w:divBdr>
        <w:top w:val="none" w:sz="0" w:space="0" w:color="auto"/>
        <w:left w:val="none" w:sz="0" w:space="0" w:color="auto"/>
        <w:bottom w:val="none" w:sz="0" w:space="0" w:color="auto"/>
        <w:right w:val="none" w:sz="0" w:space="0" w:color="auto"/>
      </w:divBdr>
    </w:div>
    <w:div w:id="1102459538">
      <w:bodyDiv w:val="1"/>
      <w:marLeft w:val="0"/>
      <w:marRight w:val="0"/>
      <w:marTop w:val="0"/>
      <w:marBottom w:val="0"/>
      <w:divBdr>
        <w:top w:val="none" w:sz="0" w:space="0" w:color="auto"/>
        <w:left w:val="none" w:sz="0" w:space="0" w:color="auto"/>
        <w:bottom w:val="none" w:sz="0" w:space="0" w:color="auto"/>
        <w:right w:val="none" w:sz="0" w:space="0" w:color="auto"/>
      </w:divBdr>
    </w:div>
    <w:div w:id="1140459286">
      <w:bodyDiv w:val="1"/>
      <w:marLeft w:val="0"/>
      <w:marRight w:val="0"/>
      <w:marTop w:val="0"/>
      <w:marBottom w:val="0"/>
      <w:divBdr>
        <w:top w:val="none" w:sz="0" w:space="0" w:color="auto"/>
        <w:left w:val="none" w:sz="0" w:space="0" w:color="auto"/>
        <w:bottom w:val="none" w:sz="0" w:space="0" w:color="auto"/>
        <w:right w:val="none" w:sz="0" w:space="0" w:color="auto"/>
      </w:divBdr>
    </w:div>
    <w:div w:id="1283154664">
      <w:bodyDiv w:val="1"/>
      <w:marLeft w:val="0"/>
      <w:marRight w:val="0"/>
      <w:marTop w:val="0"/>
      <w:marBottom w:val="0"/>
      <w:divBdr>
        <w:top w:val="none" w:sz="0" w:space="0" w:color="auto"/>
        <w:left w:val="none" w:sz="0" w:space="0" w:color="auto"/>
        <w:bottom w:val="none" w:sz="0" w:space="0" w:color="auto"/>
        <w:right w:val="none" w:sz="0" w:space="0" w:color="auto"/>
      </w:divBdr>
    </w:div>
    <w:div w:id="1336956283">
      <w:bodyDiv w:val="1"/>
      <w:marLeft w:val="0"/>
      <w:marRight w:val="0"/>
      <w:marTop w:val="0"/>
      <w:marBottom w:val="0"/>
      <w:divBdr>
        <w:top w:val="none" w:sz="0" w:space="0" w:color="auto"/>
        <w:left w:val="none" w:sz="0" w:space="0" w:color="auto"/>
        <w:bottom w:val="none" w:sz="0" w:space="0" w:color="auto"/>
        <w:right w:val="none" w:sz="0" w:space="0" w:color="auto"/>
      </w:divBdr>
    </w:div>
    <w:div w:id="1365596810">
      <w:bodyDiv w:val="1"/>
      <w:marLeft w:val="0"/>
      <w:marRight w:val="0"/>
      <w:marTop w:val="0"/>
      <w:marBottom w:val="0"/>
      <w:divBdr>
        <w:top w:val="none" w:sz="0" w:space="0" w:color="auto"/>
        <w:left w:val="none" w:sz="0" w:space="0" w:color="auto"/>
        <w:bottom w:val="none" w:sz="0" w:space="0" w:color="auto"/>
        <w:right w:val="none" w:sz="0" w:space="0" w:color="auto"/>
      </w:divBdr>
    </w:div>
    <w:div w:id="1450780843">
      <w:bodyDiv w:val="1"/>
      <w:marLeft w:val="0"/>
      <w:marRight w:val="0"/>
      <w:marTop w:val="0"/>
      <w:marBottom w:val="0"/>
      <w:divBdr>
        <w:top w:val="none" w:sz="0" w:space="0" w:color="auto"/>
        <w:left w:val="none" w:sz="0" w:space="0" w:color="auto"/>
        <w:bottom w:val="none" w:sz="0" w:space="0" w:color="auto"/>
        <w:right w:val="none" w:sz="0" w:space="0" w:color="auto"/>
      </w:divBdr>
    </w:div>
    <w:div w:id="1523740817">
      <w:bodyDiv w:val="1"/>
      <w:marLeft w:val="0"/>
      <w:marRight w:val="0"/>
      <w:marTop w:val="0"/>
      <w:marBottom w:val="0"/>
      <w:divBdr>
        <w:top w:val="none" w:sz="0" w:space="0" w:color="auto"/>
        <w:left w:val="none" w:sz="0" w:space="0" w:color="auto"/>
        <w:bottom w:val="none" w:sz="0" w:space="0" w:color="auto"/>
        <w:right w:val="none" w:sz="0" w:space="0" w:color="auto"/>
      </w:divBdr>
    </w:div>
    <w:div w:id="1602642538">
      <w:bodyDiv w:val="1"/>
      <w:marLeft w:val="0"/>
      <w:marRight w:val="0"/>
      <w:marTop w:val="0"/>
      <w:marBottom w:val="0"/>
      <w:divBdr>
        <w:top w:val="none" w:sz="0" w:space="0" w:color="auto"/>
        <w:left w:val="none" w:sz="0" w:space="0" w:color="auto"/>
        <w:bottom w:val="none" w:sz="0" w:space="0" w:color="auto"/>
        <w:right w:val="none" w:sz="0" w:space="0" w:color="auto"/>
      </w:divBdr>
    </w:div>
    <w:div w:id="1700735143">
      <w:bodyDiv w:val="1"/>
      <w:marLeft w:val="0"/>
      <w:marRight w:val="0"/>
      <w:marTop w:val="0"/>
      <w:marBottom w:val="0"/>
      <w:divBdr>
        <w:top w:val="none" w:sz="0" w:space="0" w:color="auto"/>
        <w:left w:val="none" w:sz="0" w:space="0" w:color="auto"/>
        <w:bottom w:val="none" w:sz="0" w:space="0" w:color="auto"/>
        <w:right w:val="none" w:sz="0" w:space="0" w:color="auto"/>
      </w:divBdr>
    </w:div>
    <w:div w:id="1814979915">
      <w:bodyDiv w:val="1"/>
      <w:marLeft w:val="0"/>
      <w:marRight w:val="0"/>
      <w:marTop w:val="0"/>
      <w:marBottom w:val="0"/>
      <w:divBdr>
        <w:top w:val="none" w:sz="0" w:space="0" w:color="auto"/>
        <w:left w:val="none" w:sz="0" w:space="0" w:color="auto"/>
        <w:bottom w:val="none" w:sz="0" w:space="0" w:color="auto"/>
        <w:right w:val="none" w:sz="0" w:space="0" w:color="auto"/>
      </w:divBdr>
    </w:div>
    <w:div w:id="1975527090">
      <w:bodyDiv w:val="1"/>
      <w:marLeft w:val="0"/>
      <w:marRight w:val="0"/>
      <w:marTop w:val="0"/>
      <w:marBottom w:val="0"/>
      <w:divBdr>
        <w:top w:val="none" w:sz="0" w:space="0" w:color="auto"/>
        <w:left w:val="none" w:sz="0" w:space="0" w:color="auto"/>
        <w:bottom w:val="none" w:sz="0" w:space="0" w:color="auto"/>
        <w:right w:val="none" w:sz="0" w:space="0" w:color="auto"/>
      </w:divBdr>
    </w:div>
    <w:div w:id="2004385443">
      <w:bodyDiv w:val="1"/>
      <w:marLeft w:val="0"/>
      <w:marRight w:val="0"/>
      <w:marTop w:val="0"/>
      <w:marBottom w:val="0"/>
      <w:divBdr>
        <w:top w:val="none" w:sz="0" w:space="0" w:color="auto"/>
        <w:left w:val="none" w:sz="0" w:space="0" w:color="auto"/>
        <w:bottom w:val="none" w:sz="0" w:space="0" w:color="auto"/>
        <w:right w:val="none" w:sz="0" w:space="0" w:color="auto"/>
      </w:divBdr>
    </w:div>
    <w:div w:id="2102791471">
      <w:bodyDiv w:val="1"/>
      <w:marLeft w:val="0"/>
      <w:marRight w:val="0"/>
      <w:marTop w:val="0"/>
      <w:marBottom w:val="0"/>
      <w:divBdr>
        <w:top w:val="none" w:sz="0" w:space="0" w:color="auto"/>
        <w:left w:val="none" w:sz="0" w:space="0" w:color="auto"/>
        <w:bottom w:val="none" w:sz="0" w:space="0" w:color="auto"/>
        <w:right w:val="none" w:sz="0" w:space="0" w:color="auto"/>
      </w:divBdr>
    </w:div>
    <w:div w:id="211231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chart" Target="charts/chart1.xml"/><Relationship Id="rId26" Type="http://schemas.openxmlformats.org/officeDocument/2006/relationships/hyperlink" Target="https://towardsdatascience.com/optimizing-hyperparameters-in-random-forest-classification-ec7741f9d3f6" TargetMode="External"/><Relationship Id="rId3" Type="http://schemas.openxmlformats.org/officeDocument/2006/relationships/styles" Target="styles.xml"/><Relationship Id="rId21" Type="http://schemas.openxmlformats.org/officeDocument/2006/relationships/hyperlink" Target="https://doi-org.ezproxy.lib.ryerson.ca/10.1109/BigDataService.2016.36"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oleObject" Target="embeddings/oleObject2.bin"/><Relationship Id="rId25" Type="http://schemas.openxmlformats.org/officeDocument/2006/relationships/hyperlink" Target="https://doi.org/10.1080/24694452.2018.153588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doi.org/10.1016/j.procs.2018.05.109" TargetMode="External"/><Relationship Id="rId29" Type="http://schemas.openxmlformats.org/officeDocument/2006/relationships/hyperlink" Target="https://www.unitedwaygt.org/document.doc?id=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doi.org/10.1371/journal.pone.021955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doi.org/10.1145/2938640" TargetMode="External"/><Relationship Id="rId28" Type="http://schemas.openxmlformats.org/officeDocument/2006/relationships/hyperlink" Target="https://doi.org/10.1177/0042098010367860" TargetMode="External"/><Relationship Id="rId10" Type="http://schemas.openxmlformats.org/officeDocument/2006/relationships/hyperlink" Target="https://github.com/anaedX/toronto-neighbourhoods-sa-initial-code.git" TargetMode="External"/><Relationship Id="rId19" Type="http://schemas.openxmlformats.org/officeDocument/2006/relationships/chart" Target="charts/chart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hyperlink" Target="https://doi.org/10.1109/ACCESS.2016.2594194" TargetMode="External"/><Relationship Id="rId27" Type="http://schemas.openxmlformats.org/officeDocument/2006/relationships/hyperlink" Target="https://doi.org/10.1038/s41598-017-16573-1" TargetMode="External"/><Relationship Id="rId30" Type="http://schemas.openxmlformats.org/officeDocument/2006/relationships/hyperlink" Target="https://nextcity.org/daily/entry/urban-planning-twitter-social-media-data" TargetMode="Externa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8" Type="http://schemas.openxmlformats.org/officeDocument/2006/relationships/hyperlink" Target="http://help.sentiment140.com/for-students" TargetMode="External"/><Relationship Id="rId13" Type="http://schemas.openxmlformats.org/officeDocument/2006/relationships/hyperlink" Target="https://scikit-learn.org/stable/modules/feature_extraction.html" TargetMode="External"/><Relationship Id="rId3" Type="http://schemas.openxmlformats.org/officeDocument/2006/relationships/hyperlink" Target="https://www.washingtonpost.com/technology/2019/02/07/twitter-reveals-its-daily-active-user-numbers-first-time/" TargetMode="External"/><Relationship Id="rId7" Type="http://schemas.openxmlformats.org/officeDocument/2006/relationships/hyperlink" Target="https://www.who.int/emergencies/diseases/novel-coronavirus-2019" TargetMode="External"/><Relationship Id="rId12" Type="http://schemas.openxmlformats.org/officeDocument/2006/relationships/hyperlink" Target="https://scikit-learn.org/stable/modules/classes.html?highlight=feature%20extraction" TargetMode="External"/><Relationship Id="rId2" Type="http://schemas.openxmlformats.org/officeDocument/2006/relationships/hyperlink" Target="https://www.saskatoon.ca/engage/2018-civic-surveys-results" TargetMode="External"/><Relationship Id="rId1" Type="http://schemas.openxmlformats.org/officeDocument/2006/relationships/hyperlink" Target="https://www.edmonton.ca/projects_plans/communities_neighbourhoods/neighbourhood-revitalization.aspx" TargetMode="External"/><Relationship Id="rId6" Type="http://schemas.openxmlformats.org/officeDocument/2006/relationships/hyperlink" Target="https://developer.twitter.com/en/docs" TargetMode="External"/><Relationship Id="rId11" Type="http://schemas.openxmlformats.org/officeDocument/2006/relationships/hyperlink" Target="https://pypi.org/project/emoji/" TargetMode="External"/><Relationship Id="rId5" Type="http://schemas.openxmlformats.org/officeDocument/2006/relationships/hyperlink" Target="https://www.tweepy.org/" TargetMode="External"/><Relationship Id="rId10" Type="http://schemas.openxmlformats.org/officeDocument/2006/relationships/hyperlink" Target="https://www.nltk.org/_modules/nltk/stem/wordnet.html" TargetMode="External"/><Relationship Id="rId4" Type="http://schemas.openxmlformats.org/officeDocument/2006/relationships/hyperlink" Target="https://sites.tufts.edu/ualab/" TargetMode="External"/><Relationship Id="rId9" Type="http://schemas.openxmlformats.org/officeDocument/2006/relationships/hyperlink" Target="http://www.nltk.org/" TargetMode="External"/><Relationship Id="rId14" Type="http://schemas.openxmlformats.org/officeDocument/2006/relationships/hyperlink" Target="https://scikit-learn.org/stable/modules/grid_search.html"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naav\Desktop\Classifiers%20Performance%20Evaluatio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cat>
            <c:strRef>
              <c:f>Sheet1!$A$2:$A$6</c:f>
              <c:strCache>
                <c:ptCount val="5"/>
                <c:pt idx="0">
                  <c:v>Multinomial Naïve Bayes</c:v>
                </c:pt>
                <c:pt idx="1">
                  <c:v>Random Forest</c:v>
                </c:pt>
                <c:pt idx="2">
                  <c:v>C-Support Vector Classification</c:v>
                </c:pt>
                <c:pt idx="3">
                  <c:v>Logistic Regression</c:v>
                </c:pt>
                <c:pt idx="4">
                  <c:v>Ankit’s Ensemble Classifier</c:v>
                </c:pt>
              </c:strCache>
            </c:strRef>
          </c:cat>
          <c:val>
            <c:numRef>
              <c:f>Sheet1!$B$2:$B$6</c:f>
              <c:numCache>
                <c:formatCode>General</c:formatCode>
                <c:ptCount val="5"/>
                <c:pt idx="0">
                  <c:v>74.489999999999995</c:v>
                </c:pt>
                <c:pt idx="1">
                  <c:v>67.86</c:v>
                </c:pt>
                <c:pt idx="2">
                  <c:v>69.66</c:v>
                </c:pt>
                <c:pt idx="3">
                  <c:v>69.91</c:v>
                </c:pt>
                <c:pt idx="4">
                  <c:v>82.29</c:v>
                </c:pt>
              </c:numCache>
            </c:numRef>
          </c:val>
          <c:extLst>
            <c:ext xmlns:c16="http://schemas.microsoft.com/office/drawing/2014/chart" uri="{C3380CC4-5D6E-409C-BE32-E72D297353CC}">
              <c16:uniqueId val="{00000000-7280-4822-846F-854D2A2458DC}"/>
            </c:ext>
          </c:extLst>
        </c:ser>
        <c:ser>
          <c:idx val="1"/>
          <c:order val="1"/>
          <c:tx>
            <c:strRef>
              <c:f>Sheet1!$C$1</c:f>
              <c:strCache>
                <c:ptCount val="1"/>
                <c:pt idx="0">
                  <c:v>Precision (%)</c:v>
                </c:pt>
              </c:strCache>
            </c:strRef>
          </c:tx>
          <c:spPr>
            <a:solidFill>
              <a:schemeClr val="accent3"/>
            </a:solidFill>
            <a:ln>
              <a:noFill/>
            </a:ln>
            <a:effectLst/>
          </c:spPr>
          <c:invertIfNegative val="0"/>
          <c:cat>
            <c:strRef>
              <c:f>Sheet1!$A$2:$A$6</c:f>
              <c:strCache>
                <c:ptCount val="5"/>
                <c:pt idx="0">
                  <c:v>Multinomial Naïve Bayes</c:v>
                </c:pt>
                <c:pt idx="1">
                  <c:v>Random Forest</c:v>
                </c:pt>
                <c:pt idx="2">
                  <c:v>C-Support Vector Classification</c:v>
                </c:pt>
                <c:pt idx="3">
                  <c:v>Logistic Regression</c:v>
                </c:pt>
                <c:pt idx="4">
                  <c:v>Ankit’s Ensemble Classifier</c:v>
                </c:pt>
              </c:strCache>
            </c:strRef>
          </c:cat>
          <c:val>
            <c:numRef>
              <c:f>Sheet1!$C$2:$C$6</c:f>
              <c:numCache>
                <c:formatCode>General</c:formatCode>
                <c:ptCount val="5"/>
                <c:pt idx="0">
                  <c:v>74.7</c:v>
                </c:pt>
                <c:pt idx="1">
                  <c:v>68.069999999999993</c:v>
                </c:pt>
                <c:pt idx="2">
                  <c:v>69.739999999999995</c:v>
                </c:pt>
                <c:pt idx="3">
                  <c:v>70.06</c:v>
                </c:pt>
                <c:pt idx="4">
                  <c:v>82.06</c:v>
                </c:pt>
              </c:numCache>
            </c:numRef>
          </c:val>
          <c:extLst>
            <c:ext xmlns:c16="http://schemas.microsoft.com/office/drawing/2014/chart" uri="{C3380CC4-5D6E-409C-BE32-E72D297353CC}">
              <c16:uniqueId val="{00000001-7280-4822-846F-854D2A2458DC}"/>
            </c:ext>
          </c:extLst>
        </c:ser>
        <c:ser>
          <c:idx val="2"/>
          <c:order val="2"/>
          <c:tx>
            <c:strRef>
              <c:f>Sheet1!$D$1</c:f>
              <c:strCache>
                <c:ptCount val="1"/>
                <c:pt idx="0">
                  <c:v>Recall (%)</c:v>
                </c:pt>
              </c:strCache>
            </c:strRef>
          </c:tx>
          <c:spPr>
            <a:solidFill>
              <a:schemeClr val="accent5"/>
            </a:solidFill>
            <a:ln>
              <a:noFill/>
            </a:ln>
            <a:effectLst/>
          </c:spPr>
          <c:invertIfNegative val="0"/>
          <c:cat>
            <c:strRef>
              <c:f>Sheet1!$A$2:$A$6</c:f>
              <c:strCache>
                <c:ptCount val="5"/>
                <c:pt idx="0">
                  <c:v>Multinomial Naïve Bayes</c:v>
                </c:pt>
                <c:pt idx="1">
                  <c:v>Random Forest</c:v>
                </c:pt>
                <c:pt idx="2">
                  <c:v>C-Support Vector Classification</c:v>
                </c:pt>
                <c:pt idx="3">
                  <c:v>Logistic Regression</c:v>
                </c:pt>
                <c:pt idx="4">
                  <c:v>Ankit’s Ensemble Classifier</c:v>
                </c:pt>
              </c:strCache>
            </c:strRef>
          </c:cat>
          <c:val>
            <c:numRef>
              <c:f>Sheet1!$D$2:$D$6</c:f>
              <c:numCache>
                <c:formatCode>General</c:formatCode>
                <c:ptCount val="5"/>
                <c:pt idx="0">
                  <c:v>74.489999999999995</c:v>
                </c:pt>
                <c:pt idx="1">
                  <c:v>67.86</c:v>
                </c:pt>
                <c:pt idx="2">
                  <c:v>69.66</c:v>
                </c:pt>
                <c:pt idx="3">
                  <c:v>69.91</c:v>
                </c:pt>
                <c:pt idx="4">
                  <c:v>82.26</c:v>
                </c:pt>
              </c:numCache>
            </c:numRef>
          </c:val>
          <c:extLst>
            <c:ext xmlns:c16="http://schemas.microsoft.com/office/drawing/2014/chart" uri="{C3380CC4-5D6E-409C-BE32-E72D297353CC}">
              <c16:uniqueId val="{00000002-7280-4822-846F-854D2A2458DC}"/>
            </c:ext>
          </c:extLst>
        </c:ser>
        <c:ser>
          <c:idx val="3"/>
          <c:order val="3"/>
          <c:tx>
            <c:strRef>
              <c:f>Sheet1!$E$1</c:f>
              <c:strCache>
                <c:ptCount val="1"/>
                <c:pt idx="0">
                  <c:v>F1 (%)</c:v>
                </c:pt>
              </c:strCache>
            </c:strRef>
          </c:tx>
          <c:spPr>
            <a:solidFill>
              <a:schemeClr val="accent1">
                <a:lumMod val="60000"/>
              </a:schemeClr>
            </a:solidFill>
            <a:ln>
              <a:noFill/>
            </a:ln>
            <a:effectLst/>
          </c:spPr>
          <c:invertIfNegative val="0"/>
          <c:cat>
            <c:strRef>
              <c:f>Sheet1!$A$2:$A$6</c:f>
              <c:strCache>
                <c:ptCount val="5"/>
                <c:pt idx="0">
                  <c:v>Multinomial Naïve Bayes</c:v>
                </c:pt>
                <c:pt idx="1">
                  <c:v>Random Forest</c:v>
                </c:pt>
                <c:pt idx="2">
                  <c:v>C-Support Vector Classification</c:v>
                </c:pt>
                <c:pt idx="3">
                  <c:v>Logistic Regression</c:v>
                </c:pt>
                <c:pt idx="4">
                  <c:v>Ankit’s Ensemble Classifier</c:v>
                </c:pt>
              </c:strCache>
            </c:strRef>
          </c:cat>
          <c:val>
            <c:numRef>
              <c:f>Sheet1!$E$2:$E$6</c:f>
              <c:numCache>
                <c:formatCode>General</c:formatCode>
                <c:ptCount val="5"/>
                <c:pt idx="0">
                  <c:v>74.430000000000007</c:v>
                </c:pt>
                <c:pt idx="1">
                  <c:v>67.790000000000006</c:v>
                </c:pt>
                <c:pt idx="2">
                  <c:v>69.63</c:v>
                </c:pt>
                <c:pt idx="3">
                  <c:v>69.86</c:v>
                </c:pt>
                <c:pt idx="4">
                  <c:v>82.16</c:v>
                </c:pt>
              </c:numCache>
            </c:numRef>
          </c:val>
          <c:extLst>
            <c:ext xmlns:c16="http://schemas.microsoft.com/office/drawing/2014/chart" uri="{C3380CC4-5D6E-409C-BE32-E72D297353CC}">
              <c16:uniqueId val="{00000003-7280-4822-846F-854D2A2458DC}"/>
            </c:ext>
          </c:extLst>
        </c:ser>
        <c:dLbls>
          <c:showLegendKey val="0"/>
          <c:showVal val="0"/>
          <c:showCatName val="0"/>
          <c:showSerName val="0"/>
          <c:showPercent val="0"/>
          <c:showBubbleSize val="0"/>
        </c:dLbls>
        <c:gapWidth val="219"/>
        <c:overlap val="-27"/>
        <c:axId val="842630368"/>
        <c:axId val="843006096"/>
      </c:barChart>
      <c:catAx>
        <c:axId val="84263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006096"/>
        <c:crosses val="autoZero"/>
        <c:auto val="1"/>
        <c:lblAlgn val="ctr"/>
        <c:lblOffset val="100"/>
        <c:noMultiLvlLbl val="0"/>
      </c:catAx>
      <c:valAx>
        <c:axId val="84300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63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Positive Tweets</c:v>
                </c:pt>
              </c:strCache>
            </c:strRef>
          </c:tx>
          <c:spPr>
            <a:solidFill>
              <a:schemeClr val="accent1"/>
            </a:solidFill>
            <a:ln>
              <a:noFill/>
            </a:ln>
            <a:effectLst/>
          </c:spPr>
          <c:invertIfNegative val="0"/>
          <c:cat>
            <c:strRef>
              <c:f>Sheet1!$A$2:$A$4</c:f>
              <c:strCache>
                <c:ptCount val="3"/>
                <c:pt idx="0">
                  <c:v>Toronto</c:v>
                </c:pt>
                <c:pt idx="1">
                  <c:v>Montreal</c:v>
                </c:pt>
                <c:pt idx="2">
                  <c:v>Vancouver</c:v>
                </c:pt>
              </c:strCache>
            </c:strRef>
          </c:cat>
          <c:val>
            <c:numRef>
              <c:f>Sheet1!$B$2:$B$4</c:f>
              <c:numCache>
                <c:formatCode>General</c:formatCode>
                <c:ptCount val="3"/>
                <c:pt idx="0">
                  <c:v>1184</c:v>
                </c:pt>
                <c:pt idx="1">
                  <c:v>1400</c:v>
                </c:pt>
                <c:pt idx="2">
                  <c:v>1348</c:v>
                </c:pt>
              </c:numCache>
            </c:numRef>
          </c:val>
          <c:extLst>
            <c:ext xmlns:c16="http://schemas.microsoft.com/office/drawing/2014/chart" uri="{C3380CC4-5D6E-409C-BE32-E72D297353CC}">
              <c16:uniqueId val="{00000000-E75A-4FE9-86BC-F996D4BA7F2C}"/>
            </c:ext>
          </c:extLst>
        </c:ser>
        <c:ser>
          <c:idx val="1"/>
          <c:order val="1"/>
          <c:tx>
            <c:strRef>
              <c:f>Sheet1!$C$1</c:f>
              <c:strCache>
                <c:ptCount val="1"/>
                <c:pt idx="0">
                  <c:v>Negative Tweets</c:v>
                </c:pt>
              </c:strCache>
            </c:strRef>
          </c:tx>
          <c:spPr>
            <a:solidFill>
              <a:schemeClr val="accent3"/>
            </a:solidFill>
            <a:ln>
              <a:noFill/>
            </a:ln>
            <a:effectLst/>
          </c:spPr>
          <c:invertIfNegative val="0"/>
          <c:cat>
            <c:strRef>
              <c:f>Sheet1!$A$2:$A$4</c:f>
              <c:strCache>
                <c:ptCount val="3"/>
                <c:pt idx="0">
                  <c:v>Toronto</c:v>
                </c:pt>
                <c:pt idx="1">
                  <c:v>Montreal</c:v>
                </c:pt>
                <c:pt idx="2">
                  <c:v>Vancouver</c:v>
                </c:pt>
              </c:strCache>
            </c:strRef>
          </c:cat>
          <c:val>
            <c:numRef>
              <c:f>Sheet1!$C$2:$C$4</c:f>
              <c:numCache>
                <c:formatCode>General</c:formatCode>
                <c:ptCount val="3"/>
                <c:pt idx="0">
                  <c:v>1209</c:v>
                </c:pt>
                <c:pt idx="1">
                  <c:v>1179</c:v>
                </c:pt>
                <c:pt idx="2">
                  <c:v>1122</c:v>
                </c:pt>
              </c:numCache>
            </c:numRef>
          </c:val>
          <c:extLst>
            <c:ext xmlns:c16="http://schemas.microsoft.com/office/drawing/2014/chart" uri="{C3380CC4-5D6E-409C-BE32-E72D297353CC}">
              <c16:uniqueId val="{00000001-E75A-4FE9-86BC-F996D4BA7F2C}"/>
            </c:ext>
          </c:extLst>
        </c:ser>
        <c:dLbls>
          <c:showLegendKey val="0"/>
          <c:showVal val="0"/>
          <c:showCatName val="0"/>
          <c:showSerName val="0"/>
          <c:showPercent val="0"/>
          <c:showBubbleSize val="0"/>
        </c:dLbls>
        <c:gapWidth val="219"/>
        <c:overlap val="-27"/>
        <c:axId val="1802981472"/>
        <c:axId val="1898842064"/>
      </c:barChart>
      <c:catAx>
        <c:axId val="180298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842064"/>
        <c:crosses val="autoZero"/>
        <c:auto val="1"/>
        <c:lblAlgn val="ctr"/>
        <c:lblOffset val="100"/>
        <c:noMultiLvlLbl val="0"/>
      </c:catAx>
      <c:valAx>
        <c:axId val="1898842064"/>
        <c:scaling>
          <c:orientation val="minMax"/>
          <c:max val="14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98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Data PreProcessing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Extraction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600B46F1-EB63-4E87-B334-5C045BAB168F}">
      <dgm:prSet phldrT="[Text]"/>
      <dgm:spPr/>
      <dgm:t>
        <a:bodyPr/>
        <a:lstStyle/>
        <a:p>
          <a:r>
            <a:rPr lang="en-US"/>
            <a:t>Model Training</a:t>
          </a:r>
        </a:p>
      </dgm:t>
    </dgm:pt>
    <dgm:pt modelId="{E27D8F1E-155A-4F90-9CC3-F73A332C409A}" type="parTrans" cxnId="{7AE5CEC7-DEF4-4210-A797-BEEFB5E1FA81}">
      <dgm:prSet/>
      <dgm:spPr/>
      <dgm:t>
        <a:bodyPr/>
        <a:lstStyle/>
        <a:p>
          <a:endParaRPr lang="en-CA"/>
        </a:p>
      </dgm:t>
    </dgm:pt>
    <dgm:pt modelId="{192EFAD6-4367-44BD-9281-DEB2146EB2CA}" type="sibTrans" cxnId="{7AE5CEC7-DEF4-4210-A797-BEEFB5E1FA81}">
      <dgm:prSet/>
      <dgm:spPr/>
      <dgm:t>
        <a:bodyPr/>
        <a:lstStyle/>
        <a:p>
          <a:endParaRPr lang="en-CA"/>
        </a:p>
      </dgm:t>
    </dgm:pt>
    <dgm:pt modelId="{FB354D4C-C453-493E-BC4A-1B9863BBD428}">
      <dgm:prSet phldrT="[Text]"/>
      <dgm:spPr/>
      <dgm:t>
        <a:bodyPr/>
        <a:lstStyle/>
        <a:p>
          <a:r>
            <a:rPr lang="en-US"/>
            <a:t>Evaluation</a:t>
          </a:r>
        </a:p>
      </dgm:t>
    </dgm:pt>
    <dgm:pt modelId="{496FD311-16B7-4114-AB49-1CE887C9D5E7}" type="parTrans" cxnId="{0A179844-A98F-4A93-A7EF-1127F9351AF0}">
      <dgm:prSet/>
      <dgm:spPr/>
      <dgm:t>
        <a:bodyPr/>
        <a:lstStyle/>
        <a:p>
          <a:endParaRPr lang="en-CA"/>
        </a:p>
      </dgm:t>
    </dgm:pt>
    <dgm:pt modelId="{BAD76ADC-5E4F-4063-9156-95420616FC1A}" type="sibTrans" cxnId="{0A179844-A98F-4A93-A7EF-1127F9351AF0}">
      <dgm:prSet/>
      <dgm:spPr/>
      <dgm:t>
        <a:bodyPr/>
        <a:lstStyle/>
        <a:p>
          <a:endParaRPr lang="en-CA"/>
        </a:p>
      </dgm:t>
    </dgm:pt>
    <dgm:pt modelId="{E6330D19-8E50-458E-9729-33853B952A65}">
      <dgm:prSet phldrT="[Text]"/>
      <dgm:spPr/>
      <dgm:t>
        <a:bodyPr/>
        <a:lstStyle/>
        <a:p>
          <a:r>
            <a:rPr lang="en-US"/>
            <a:t>Parameter Tuning</a:t>
          </a:r>
        </a:p>
      </dgm:t>
    </dgm:pt>
    <dgm:pt modelId="{1C42F7C0-21AC-44EF-BC08-ABCC131B326D}" type="parTrans" cxnId="{2FDB173C-F4C3-4D19-A819-8AF8861D4504}">
      <dgm:prSet/>
      <dgm:spPr/>
      <dgm:t>
        <a:bodyPr/>
        <a:lstStyle/>
        <a:p>
          <a:endParaRPr lang="en-CA"/>
        </a:p>
      </dgm:t>
    </dgm:pt>
    <dgm:pt modelId="{5857E6F7-D682-4E6B-BA9F-7A6154845876}" type="sibTrans" cxnId="{2FDB173C-F4C3-4D19-A819-8AF8861D4504}">
      <dgm:prSet/>
      <dgm:spPr/>
      <dgm:t>
        <a:bodyPr/>
        <a:lstStyle/>
        <a:p>
          <a:endParaRPr lang="en-CA"/>
        </a:p>
      </dgm:t>
    </dgm:pt>
    <dgm:pt modelId="{7A4D54D6-D612-4E26-AA71-9838968DA814}">
      <dgm:prSet phldrT="[Text]"/>
      <dgm:spPr/>
      <dgm:t>
        <a:bodyPr/>
        <a:lstStyle/>
        <a:p>
          <a:r>
            <a:rPr lang="en-US"/>
            <a:t>Prediction</a:t>
          </a:r>
        </a:p>
      </dgm:t>
    </dgm:pt>
    <dgm:pt modelId="{3A0B6710-844F-4136-9F8A-4776FD074E15}" type="parTrans" cxnId="{B9B80913-DF06-4B5A-918C-B156A820C1F2}">
      <dgm:prSet/>
      <dgm:spPr/>
      <dgm:t>
        <a:bodyPr/>
        <a:lstStyle/>
        <a:p>
          <a:endParaRPr lang="en-CA"/>
        </a:p>
      </dgm:t>
    </dgm:pt>
    <dgm:pt modelId="{ECD7C157-CF05-49E7-AC24-7F8D9FC0EB3B}" type="sibTrans" cxnId="{B9B80913-DF06-4B5A-918C-B156A820C1F2}">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6"/>
      <dgm:spPr/>
    </dgm:pt>
    <dgm:pt modelId="{EF66260F-198D-4DCD-BF22-98A11E826DD5}" type="pres">
      <dgm:prSet presAssocID="{55DD5B98-CF2E-4100-880E-6123CAFA8220}" presName="ParentText" presStyleLbl="node1" presStyleIdx="0" presStyleCnt="7"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6">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6"/>
      <dgm:spPr/>
    </dgm:pt>
    <dgm:pt modelId="{D99E3746-8685-423F-9571-55D13F032D14}" type="pres">
      <dgm:prSet presAssocID="{E909710A-7E79-4607-A504-270FF0602216}" presName="ParentText" presStyleLbl="node1" presStyleIdx="1" presStyleCnt="7">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6">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2A961859-EB4B-440E-B075-DBD4834F368A}" type="pres">
      <dgm:prSet presAssocID="{2F905417-9D4F-4324-82AE-9251B31A2C80}" presName="bentUpArrow1" presStyleLbl="alignImgPlace1" presStyleIdx="2" presStyleCnt="6"/>
      <dgm:spPr/>
    </dgm:pt>
    <dgm:pt modelId="{7A6D832A-79C8-4834-913A-A7BBE19BF698}" type="pres">
      <dgm:prSet presAssocID="{2F905417-9D4F-4324-82AE-9251B31A2C80}" presName="ParentText" presStyleLbl="node1" presStyleIdx="2" presStyleCnt="7">
        <dgm:presLayoutVars>
          <dgm:chMax val="1"/>
          <dgm:chPref val="1"/>
          <dgm:bulletEnabled val="1"/>
        </dgm:presLayoutVars>
      </dgm:prSet>
      <dgm:spPr/>
    </dgm:pt>
    <dgm:pt modelId="{E7F92242-5588-436C-9A67-B79FB2A4E1C5}" type="pres">
      <dgm:prSet presAssocID="{2F905417-9D4F-4324-82AE-9251B31A2C80}" presName="ChildText" presStyleLbl="revTx" presStyleIdx="2" presStyleCnt="6">
        <dgm:presLayoutVars>
          <dgm:chMax val="0"/>
          <dgm:chPref val="0"/>
          <dgm:bulletEnabled val="1"/>
        </dgm:presLayoutVars>
      </dgm:prSet>
      <dgm:spPr/>
    </dgm:pt>
    <dgm:pt modelId="{C3D2CCCF-366D-4802-BBF0-22378CD04C32}" type="pres">
      <dgm:prSet presAssocID="{20F01C81-0BEA-4495-8251-72A121761E2D}" presName="sibTrans" presStyleCnt="0"/>
      <dgm:spPr/>
    </dgm:pt>
    <dgm:pt modelId="{F42C6275-4644-427C-9E05-38EC44A9B243}" type="pres">
      <dgm:prSet presAssocID="{600B46F1-EB63-4E87-B334-5C045BAB168F}" presName="composite" presStyleCnt="0"/>
      <dgm:spPr/>
    </dgm:pt>
    <dgm:pt modelId="{D311DC39-F6E4-4304-92C7-9C2F88B7448F}" type="pres">
      <dgm:prSet presAssocID="{600B46F1-EB63-4E87-B334-5C045BAB168F}" presName="bentUpArrow1" presStyleLbl="alignImgPlace1" presStyleIdx="3" presStyleCnt="6"/>
      <dgm:spPr/>
    </dgm:pt>
    <dgm:pt modelId="{57649B50-5345-45FC-9842-0E9B2E9E7F0D}" type="pres">
      <dgm:prSet presAssocID="{600B46F1-EB63-4E87-B334-5C045BAB168F}" presName="ParentText" presStyleLbl="node1" presStyleIdx="3" presStyleCnt="7">
        <dgm:presLayoutVars>
          <dgm:chMax val="1"/>
          <dgm:chPref val="1"/>
          <dgm:bulletEnabled val="1"/>
        </dgm:presLayoutVars>
      </dgm:prSet>
      <dgm:spPr/>
    </dgm:pt>
    <dgm:pt modelId="{8855815B-4288-4260-9B50-0F16F9BB66D6}" type="pres">
      <dgm:prSet presAssocID="{600B46F1-EB63-4E87-B334-5C045BAB168F}" presName="ChildText" presStyleLbl="revTx" presStyleIdx="3" presStyleCnt="6">
        <dgm:presLayoutVars>
          <dgm:chMax val="0"/>
          <dgm:chPref val="0"/>
          <dgm:bulletEnabled val="1"/>
        </dgm:presLayoutVars>
      </dgm:prSet>
      <dgm:spPr/>
    </dgm:pt>
    <dgm:pt modelId="{898C2961-A818-4E03-835D-070EC8829F1B}" type="pres">
      <dgm:prSet presAssocID="{192EFAD6-4367-44BD-9281-DEB2146EB2CA}" presName="sibTrans" presStyleCnt="0"/>
      <dgm:spPr/>
    </dgm:pt>
    <dgm:pt modelId="{AB52B1BF-D7B6-4B14-AAEF-CB76614B0064}" type="pres">
      <dgm:prSet presAssocID="{FB354D4C-C453-493E-BC4A-1B9863BBD428}" presName="composite" presStyleCnt="0"/>
      <dgm:spPr/>
    </dgm:pt>
    <dgm:pt modelId="{26F23DEA-9AAA-41FE-92AA-4A4F304BDE85}" type="pres">
      <dgm:prSet presAssocID="{FB354D4C-C453-493E-BC4A-1B9863BBD428}" presName="bentUpArrow1" presStyleLbl="alignImgPlace1" presStyleIdx="4" presStyleCnt="6"/>
      <dgm:spPr/>
    </dgm:pt>
    <dgm:pt modelId="{B03C6114-B790-48B4-9611-16AF31D228BA}" type="pres">
      <dgm:prSet presAssocID="{FB354D4C-C453-493E-BC4A-1B9863BBD428}" presName="ParentText" presStyleLbl="node1" presStyleIdx="4" presStyleCnt="7">
        <dgm:presLayoutVars>
          <dgm:chMax val="1"/>
          <dgm:chPref val="1"/>
          <dgm:bulletEnabled val="1"/>
        </dgm:presLayoutVars>
      </dgm:prSet>
      <dgm:spPr/>
    </dgm:pt>
    <dgm:pt modelId="{C920BD78-CFA6-4C61-A72B-98AC9F25F630}" type="pres">
      <dgm:prSet presAssocID="{FB354D4C-C453-493E-BC4A-1B9863BBD428}" presName="ChildText" presStyleLbl="revTx" presStyleIdx="4" presStyleCnt="6">
        <dgm:presLayoutVars>
          <dgm:chMax val="0"/>
          <dgm:chPref val="0"/>
          <dgm:bulletEnabled val="1"/>
        </dgm:presLayoutVars>
      </dgm:prSet>
      <dgm:spPr/>
    </dgm:pt>
    <dgm:pt modelId="{603795E8-C220-42B8-88A9-A25A340B9FC7}" type="pres">
      <dgm:prSet presAssocID="{BAD76ADC-5E4F-4063-9156-95420616FC1A}" presName="sibTrans" presStyleCnt="0"/>
      <dgm:spPr/>
    </dgm:pt>
    <dgm:pt modelId="{F3BD5F10-37A5-4E4B-8C80-D49A9F7CAFBF}" type="pres">
      <dgm:prSet presAssocID="{E6330D19-8E50-458E-9729-33853B952A65}" presName="composite" presStyleCnt="0"/>
      <dgm:spPr/>
    </dgm:pt>
    <dgm:pt modelId="{E9F0E259-0F4B-463C-AC2F-F5FA5C595E5F}" type="pres">
      <dgm:prSet presAssocID="{E6330D19-8E50-458E-9729-33853B952A65}" presName="bentUpArrow1" presStyleLbl="alignImgPlace1" presStyleIdx="5" presStyleCnt="6"/>
      <dgm:spPr/>
    </dgm:pt>
    <dgm:pt modelId="{50EE7C16-702B-4958-8708-3B790C9C9D83}" type="pres">
      <dgm:prSet presAssocID="{E6330D19-8E50-458E-9729-33853B952A65}" presName="ParentText" presStyleLbl="node1" presStyleIdx="5" presStyleCnt="7">
        <dgm:presLayoutVars>
          <dgm:chMax val="1"/>
          <dgm:chPref val="1"/>
          <dgm:bulletEnabled val="1"/>
        </dgm:presLayoutVars>
      </dgm:prSet>
      <dgm:spPr/>
    </dgm:pt>
    <dgm:pt modelId="{E3D67AEE-F7FE-426D-B7CF-DB2FC965932B}" type="pres">
      <dgm:prSet presAssocID="{E6330D19-8E50-458E-9729-33853B952A65}" presName="ChildText" presStyleLbl="revTx" presStyleIdx="5" presStyleCnt="6">
        <dgm:presLayoutVars>
          <dgm:chMax val="0"/>
          <dgm:chPref val="0"/>
          <dgm:bulletEnabled val="1"/>
        </dgm:presLayoutVars>
      </dgm:prSet>
      <dgm:spPr/>
    </dgm:pt>
    <dgm:pt modelId="{AD0B16E0-0AA4-4013-AACE-A06ABDCDF323}" type="pres">
      <dgm:prSet presAssocID="{5857E6F7-D682-4E6B-BA9F-7A6154845876}" presName="sibTrans" presStyleCnt="0"/>
      <dgm:spPr/>
    </dgm:pt>
    <dgm:pt modelId="{D886A592-23C6-4FA1-8FE0-24EF41A01516}" type="pres">
      <dgm:prSet presAssocID="{7A4D54D6-D612-4E26-AA71-9838968DA814}" presName="composite" presStyleCnt="0"/>
      <dgm:spPr/>
    </dgm:pt>
    <dgm:pt modelId="{1E6970EE-DA7B-4CCC-A98A-E6BA09682785}" type="pres">
      <dgm:prSet presAssocID="{7A4D54D6-D612-4E26-AA71-9838968DA814}" presName="ParentText" presStyleLbl="node1" presStyleIdx="6" presStyleCnt="7">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931F5D12-02D7-4C83-B9AF-25F808A50AAA}" type="presOf" srcId="{E6330D19-8E50-458E-9729-33853B952A65}" destId="{50EE7C16-702B-4958-8708-3B790C9C9D83}" srcOrd="0" destOrd="0" presId="urn:microsoft.com/office/officeart/2005/8/layout/StepDownProcess"/>
    <dgm:cxn modelId="{B9B80913-DF06-4B5A-918C-B156A820C1F2}" srcId="{9F8873B5-0A23-4B7F-AD20-589AF1D0E1D0}" destId="{7A4D54D6-D612-4E26-AA71-9838968DA814}" srcOrd="6" destOrd="0" parTransId="{3A0B6710-844F-4136-9F8A-4776FD074E15}" sibTransId="{ECD7C157-CF05-49E7-AC24-7F8D9FC0EB3B}"/>
    <dgm:cxn modelId="{0E1A332F-81A8-4D00-8B8F-91905892C302}" srcId="{9F8873B5-0A23-4B7F-AD20-589AF1D0E1D0}" destId="{55DD5B98-CF2E-4100-880E-6123CAFA8220}" srcOrd="0" destOrd="0" parTransId="{86EF77BC-6B24-488F-9415-D6CBFCF29BE9}" sibTransId="{F86432C1-550A-4D90-AB1E-48F467DF4FC2}"/>
    <dgm:cxn modelId="{2FDB173C-F4C3-4D19-A819-8AF8861D4504}" srcId="{9F8873B5-0A23-4B7F-AD20-589AF1D0E1D0}" destId="{E6330D19-8E50-458E-9729-33853B952A65}" srcOrd="5" destOrd="0" parTransId="{1C42F7C0-21AC-44EF-BC08-ABCC131B326D}" sibTransId="{5857E6F7-D682-4E6B-BA9F-7A6154845876}"/>
    <dgm:cxn modelId="{0A179844-A98F-4A93-A7EF-1127F9351AF0}" srcId="{9F8873B5-0A23-4B7F-AD20-589AF1D0E1D0}" destId="{FB354D4C-C453-493E-BC4A-1B9863BBD428}" srcOrd="4" destOrd="0" parTransId="{496FD311-16B7-4114-AB49-1CE887C9D5E7}" sibTransId="{BAD76ADC-5E4F-4063-9156-95420616FC1A}"/>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A2579F54-C98D-4A95-B745-3A6FC4FF7AE5}" type="presOf" srcId="{FB354D4C-C453-493E-BC4A-1B9863BBD428}" destId="{B03C6114-B790-48B4-9611-16AF31D228BA}" srcOrd="0" destOrd="0" presId="urn:microsoft.com/office/officeart/2005/8/layout/StepDownProcess"/>
    <dgm:cxn modelId="{ACE40486-E650-4AF8-AA3D-7A21E546F3DE}" type="presOf" srcId="{600B46F1-EB63-4E87-B334-5C045BAB168F}" destId="{57649B50-5345-45FC-9842-0E9B2E9E7F0D}"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BDC712B3-3EE3-4CDD-93B8-42F916AEF8BF}" type="presOf" srcId="{7A4D54D6-D612-4E26-AA71-9838968DA814}" destId="{1E6970EE-DA7B-4CCC-A98A-E6BA09682785}" srcOrd="0" destOrd="0" presId="urn:microsoft.com/office/officeart/2005/8/layout/StepDownProcess"/>
    <dgm:cxn modelId="{7AE5CEC7-DEF4-4210-A797-BEEFB5E1FA81}" srcId="{9F8873B5-0A23-4B7F-AD20-589AF1D0E1D0}" destId="{600B46F1-EB63-4E87-B334-5C045BAB168F}" srcOrd="3" destOrd="0" parTransId="{E27D8F1E-155A-4F90-9CC3-F73A332C409A}" sibTransId="{192EFAD6-4367-44BD-9281-DEB2146EB2CA}"/>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09FB617D-B46D-4F52-92DC-1F35E6D5323C}" type="presParOf" srcId="{E9C819EA-B2AF-4EF6-8AEC-7D4E840F6D84}" destId="{2A961859-EB4B-440E-B075-DBD4834F368A}"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95E23EE4-0E71-492A-AC6F-E130D894A959}" type="presParOf" srcId="{E9C819EA-B2AF-4EF6-8AEC-7D4E840F6D84}" destId="{E7F92242-5588-436C-9A67-B79FB2A4E1C5}" srcOrd="2" destOrd="0" presId="urn:microsoft.com/office/officeart/2005/8/layout/StepDownProcess"/>
    <dgm:cxn modelId="{86D147FB-7CA2-4AFD-B5C8-ACF4A51CE292}" type="presParOf" srcId="{03FB40C2-4D41-4C71-8B93-C8D17C430D6F}" destId="{C3D2CCCF-366D-4802-BBF0-22378CD04C32}" srcOrd="5" destOrd="0" presId="urn:microsoft.com/office/officeart/2005/8/layout/StepDownProcess"/>
    <dgm:cxn modelId="{57B38042-83AE-4A7A-B93D-1EFF30CB99EF}" type="presParOf" srcId="{03FB40C2-4D41-4C71-8B93-C8D17C430D6F}" destId="{F42C6275-4644-427C-9E05-38EC44A9B243}" srcOrd="6" destOrd="0" presId="urn:microsoft.com/office/officeart/2005/8/layout/StepDownProcess"/>
    <dgm:cxn modelId="{6CD5D292-CC0F-4391-9B20-613FA9FAFF2A}" type="presParOf" srcId="{F42C6275-4644-427C-9E05-38EC44A9B243}" destId="{D311DC39-F6E4-4304-92C7-9C2F88B7448F}" srcOrd="0" destOrd="0" presId="urn:microsoft.com/office/officeart/2005/8/layout/StepDownProcess"/>
    <dgm:cxn modelId="{77247207-A3DE-4479-A1C5-0E7D62AC39F9}" type="presParOf" srcId="{F42C6275-4644-427C-9E05-38EC44A9B243}" destId="{57649B50-5345-45FC-9842-0E9B2E9E7F0D}" srcOrd="1" destOrd="0" presId="urn:microsoft.com/office/officeart/2005/8/layout/StepDownProcess"/>
    <dgm:cxn modelId="{1EC20107-AC39-4CD3-8E47-F815971B4078}" type="presParOf" srcId="{F42C6275-4644-427C-9E05-38EC44A9B243}" destId="{8855815B-4288-4260-9B50-0F16F9BB66D6}" srcOrd="2" destOrd="0" presId="urn:microsoft.com/office/officeart/2005/8/layout/StepDownProcess"/>
    <dgm:cxn modelId="{21DE25FD-E01D-4F59-A111-F1B1D9D2B941}" type="presParOf" srcId="{03FB40C2-4D41-4C71-8B93-C8D17C430D6F}" destId="{898C2961-A818-4E03-835D-070EC8829F1B}" srcOrd="7" destOrd="0" presId="urn:microsoft.com/office/officeart/2005/8/layout/StepDownProcess"/>
    <dgm:cxn modelId="{DF907372-3950-4D36-91DD-D1B37A91DE8A}" type="presParOf" srcId="{03FB40C2-4D41-4C71-8B93-C8D17C430D6F}" destId="{AB52B1BF-D7B6-4B14-AAEF-CB76614B0064}" srcOrd="8" destOrd="0" presId="urn:microsoft.com/office/officeart/2005/8/layout/StepDownProcess"/>
    <dgm:cxn modelId="{B298D365-74B6-426E-9611-F0B6440AD38E}" type="presParOf" srcId="{AB52B1BF-D7B6-4B14-AAEF-CB76614B0064}" destId="{26F23DEA-9AAA-41FE-92AA-4A4F304BDE85}" srcOrd="0" destOrd="0" presId="urn:microsoft.com/office/officeart/2005/8/layout/StepDownProcess"/>
    <dgm:cxn modelId="{6F760418-7E5B-4523-A9B2-0525115C96C9}" type="presParOf" srcId="{AB52B1BF-D7B6-4B14-AAEF-CB76614B0064}" destId="{B03C6114-B790-48B4-9611-16AF31D228BA}" srcOrd="1" destOrd="0" presId="urn:microsoft.com/office/officeart/2005/8/layout/StepDownProcess"/>
    <dgm:cxn modelId="{28E07352-167D-4778-B0CD-9E150FFCA131}" type="presParOf" srcId="{AB52B1BF-D7B6-4B14-AAEF-CB76614B0064}" destId="{C920BD78-CFA6-4C61-A72B-98AC9F25F630}" srcOrd="2" destOrd="0" presId="urn:microsoft.com/office/officeart/2005/8/layout/StepDownProcess"/>
    <dgm:cxn modelId="{8A5B4ADE-8636-4A47-9EBA-06952CFDFBBD}" type="presParOf" srcId="{03FB40C2-4D41-4C71-8B93-C8D17C430D6F}" destId="{603795E8-C220-42B8-88A9-A25A340B9FC7}" srcOrd="9" destOrd="0" presId="urn:microsoft.com/office/officeart/2005/8/layout/StepDownProcess"/>
    <dgm:cxn modelId="{19A8CE68-699D-4D9E-AAF8-275EE43B71FD}" type="presParOf" srcId="{03FB40C2-4D41-4C71-8B93-C8D17C430D6F}" destId="{F3BD5F10-37A5-4E4B-8C80-D49A9F7CAFBF}" srcOrd="10" destOrd="0" presId="urn:microsoft.com/office/officeart/2005/8/layout/StepDownProcess"/>
    <dgm:cxn modelId="{A25F74E0-2B91-41E0-8C8D-17B073871144}" type="presParOf" srcId="{F3BD5F10-37A5-4E4B-8C80-D49A9F7CAFBF}" destId="{E9F0E259-0F4B-463C-AC2F-F5FA5C595E5F}" srcOrd="0" destOrd="0" presId="urn:microsoft.com/office/officeart/2005/8/layout/StepDownProcess"/>
    <dgm:cxn modelId="{F2C7233B-0DBF-4222-800E-1198682AF135}" type="presParOf" srcId="{F3BD5F10-37A5-4E4B-8C80-D49A9F7CAFBF}" destId="{50EE7C16-702B-4958-8708-3B790C9C9D83}" srcOrd="1" destOrd="0" presId="urn:microsoft.com/office/officeart/2005/8/layout/StepDownProcess"/>
    <dgm:cxn modelId="{3F12C42C-5ED6-420E-BF32-1C42FBAC2B85}" type="presParOf" srcId="{F3BD5F10-37A5-4E4B-8C80-D49A9F7CAFBF}" destId="{E3D67AEE-F7FE-426D-B7CF-DB2FC965932B}" srcOrd="2" destOrd="0" presId="urn:microsoft.com/office/officeart/2005/8/layout/StepDownProcess"/>
    <dgm:cxn modelId="{5333547D-EDE2-4887-AD0E-14EBC7A83850}" type="presParOf" srcId="{03FB40C2-4D41-4C71-8B93-C8D17C430D6F}" destId="{AD0B16E0-0AA4-4013-AACE-A06ABDCDF323}" srcOrd="11" destOrd="0" presId="urn:microsoft.com/office/officeart/2005/8/layout/StepDownProcess"/>
    <dgm:cxn modelId="{6A0856B7-C9F9-44BE-9767-0BC715769030}" type="presParOf" srcId="{03FB40C2-4D41-4C71-8B93-C8D17C430D6F}" destId="{D886A592-23C6-4FA1-8FE0-24EF41A01516}" srcOrd="12" destOrd="0" presId="urn:microsoft.com/office/officeart/2005/8/layout/StepDownProcess"/>
    <dgm:cxn modelId="{DF7683B8-EFC7-4A03-9E0E-CDD7649DC6CC}" type="presParOf" srcId="{D886A592-23C6-4FA1-8FE0-24EF41A01516}" destId="{1E6970EE-DA7B-4CCC-A98A-E6BA09682785}"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16631" y="410102"/>
          <a:ext cx="368427" cy="41944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9021" y="21427"/>
          <a:ext cx="620214" cy="39466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Data Collection</a:t>
          </a:r>
        </a:p>
      </dsp:txBody>
      <dsp:txXfrm>
        <a:off x="1138290" y="40696"/>
        <a:ext cx="581676" cy="356125"/>
      </dsp:txXfrm>
    </dsp:sp>
    <dsp:sp modelId="{96083692-EC0A-4305-846E-2787A3DE57EC}">
      <dsp:nvSpPr>
        <dsp:cNvPr id="0" name=""/>
        <dsp:cNvSpPr/>
      </dsp:nvSpPr>
      <dsp:spPr>
        <a:xfrm>
          <a:off x="1739235" y="43098"/>
          <a:ext cx="451085" cy="35088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730855" y="897774"/>
          <a:ext cx="368427" cy="41944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633244" y="489365"/>
          <a:ext cx="620214" cy="4341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Data PreProcessing</a:t>
          </a:r>
        </a:p>
      </dsp:txBody>
      <dsp:txXfrm>
        <a:off x="1654440" y="510561"/>
        <a:ext cx="577822" cy="391738"/>
      </dsp:txXfrm>
    </dsp:sp>
    <dsp:sp modelId="{78E62B68-044B-45FE-8211-E28E0A2FDDE7}">
      <dsp:nvSpPr>
        <dsp:cNvPr id="0" name=""/>
        <dsp:cNvSpPr/>
      </dsp:nvSpPr>
      <dsp:spPr>
        <a:xfrm>
          <a:off x="2253459" y="530769"/>
          <a:ext cx="451085" cy="350883"/>
        </a:xfrm>
        <a:prstGeom prst="rect">
          <a:avLst/>
        </a:prstGeom>
        <a:noFill/>
        <a:ln>
          <a:noFill/>
        </a:ln>
        <a:effectLst/>
      </dsp:spPr>
      <dsp:style>
        <a:lnRef idx="0">
          <a:scrgbClr r="0" g="0" b="0"/>
        </a:lnRef>
        <a:fillRef idx="0">
          <a:scrgbClr r="0" g="0" b="0"/>
        </a:fillRef>
        <a:effectRef idx="0">
          <a:scrgbClr r="0" g="0" b="0"/>
        </a:effectRef>
        <a:fontRef idx="minor"/>
      </dsp:style>
    </dsp:sp>
    <dsp:sp modelId="{2A961859-EB4B-440E-B075-DBD4834F368A}">
      <dsp:nvSpPr>
        <dsp:cNvPr id="0" name=""/>
        <dsp:cNvSpPr/>
      </dsp:nvSpPr>
      <dsp:spPr>
        <a:xfrm rot="5400000">
          <a:off x="2245079" y="1385445"/>
          <a:ext cx="368427" cy="41944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147468" y="977036"/>
          <a:ext cx="620214" cy="4341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Feature Extraction</a:t>
          </a:r>
        </a:p>
      </dsp:txBody>
      <dsp:txXfrm>
        <a:off x="2168664" y="998232"/>
        <a:ext cx="577822" cy="391738"/>
      </dsp:txXfrm>
    </dsp:sp>
    <dsp:sp modelId="{E7F92242-5588-436C-9A67-B79FB2A4E1C5}">
      <dsp:nvSpPr>
        <dsp:cNvPr id="0" name=""/>
        <dsp:cNvSpPr/>
      </dsp:nvSpPr>
      <dsp:spPr>
        <a:xfrm>
          <a:off x="2767683" y="1018441"/>
          <a:ext cx="451085" cy="350883"/>
        </a:xfrm>
        <a:prstGeom prst="rect">
          <a:avLst/>
        </a:prstGeom>
        <a:noFill/>
        <a:ln>
          <a:noFill/>
        </a:ln>
        <a:effectLst/>
      </dsp:spPr>
      <dsp:style>
        <a:lnRef idx="0">
          <a:scrgbClr r="0" g="0" b="0"/>
        </a:lnRef>
        <a:fillRef idx="0">
          <a:scrgbClr r="0" g="0" b="0"/>
        </a:fillRef>
        <a:effectRef idx="0">
          <a:scrgbClr r="0" g="0" b="0"/>
        </a:effectRef>
        <a:fontRef idx="minor"/>
      </dsp:style>
    </dsp:sp>
    <dsp:sp modelId="{D311DC39-F6E4-4304-92C7-9C2F88B7448F}">
      <dsp:nvSpPr>
        <dsp:cNvPr id="0" name=""/>
        <dsp:cNvSpPr/>
      </dsp:nvSpPr>
      <dsp:spPr>
        <a:xfrm rot="5400000">
          <a:off x="2759303" y="1873117"/>
          <a:ext cx="368427" cy="41944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7649B50-5345-45FC-9842-0E9B2E9E7F0D}">
      <dsp:nvSpPr>
        <dsp:cNvPr id="0" name=""/>
        <dsp:cNvSpPr/>
      </dsp:nvSpPr>
      <dsp:spPr>
        <a:xfrm>
          <a:off x="2661692" y="1464708"/>
          <a:ext cx="620214" cy="4341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Model Training</a:t>
          </a:r>
        </a:p>
      </dsp:txBody>
      <dsp:txXfrm>
        <a:off x="2682888" y="1485904"/>
        <a:ext cx="577822" cy="391738"/>
      </dsp:txXfrm>
    </dsp:sp>
    <dsp:sp modelId="{8855815B-4288-4260-9B50-0F16F9BB66D6}">
      <dsp:nvSpPr>
        <dsp:cNvPr id="0" name=""/>
        <dsp:cNvSpPr/>
      </dsp:nvSpPr>
      <dsp:spPr>
        <a:xfrm>
          <a:off x="3281907" y="1506112"/>
          <a:ext cx="451085" cy="350883"/>
        </a:xfrm>
        <a:prstGeom prst="rect">
          <a:avLst/>
        </a:prstGeom>
        <a:noFill/>
        <a:ln>
          <a:noFill/>
        </a:ln>
        <a:effectLst/>
      </dsp:spPr>
      <dsp:style>
        <a:lnRef idx="0">
          <a:scrgbClr r="0" g="0" b="0"/>
        </a:lnRef>
        <a:fillRef idx="0">
          <a:scrgbClr r="0" g="0" b="0"/>
        </a:fillRef>
        <a:effectRef idx="0">
          <a:scrgbClr r="0" g="0" b="0"/>
        </a:effectRef>
        <a:fontRef idx="minor"/>
      </dsp:style>
    </dsp:sp>
    <dsp:sp modelId="{26F23DEA-9AAA-41FE-92AA-4A4F304BDE85}">
      <dsp:nvSpPr>
        <dsp:cNvPr id="0" name=""/>
        <dsp:cNvSpPr/>
      </dsp:nvSpPr>
      <dsp:spPr>
        <a:xfrm rot="5400000">
          <a:off x="3273527" y="2360788"/>
          <a:ext cx="368427" cy="41944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03C6114-B790-48B4-9611-16AF31D228BA}">
      <dsp:nvSpPr>
        <dsp:cNvPr id="0" name=""/>
        <dsp:cNvSpPr/>
      </dsp:nvSpPr>
      <dsp:spPr>
        <a:xfrm>
          <a:off x="3175916" y="1952379"/>
          <a:ext cx="620214" cy="4341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Evaluation</a:t>
          </a:r>
        </a:p>
      </dsp:txBody>
      <dsp:txXfrm>
        <a:off x="3197112" y="1973575"/>
        <a:ext cx="577822" cy="391738"/>
      </dsp:txXfrm>
    </dsp:sp>
    <dsp:sp modelId="{C920BD78-CFA6-4C61-A72B-98AC9F25F630}">
      <dsp:nvSpPr>
        <dsp:cNvPr id="0" name=""/>
        <dsp:cNvSpPr/>
      </dsp:nvSpPr>
      <dsp:spPr>
        <a:xfrm>
          <a:off x="3796131" y="1993783"/>
          <a:ext cx="451085" cy="350883"/>
        </a:xfrm>
        <a:prstGeom prst="rect">
          <a:avLst/>
        </a:prstGeom>
        <a:noFill/>
        <a:ln>
          <a:noFill/>
        </a:ln>
        <a:effectLst/>
      </dsp:spPr>
      <dsp:style>
        <a:lnRef idx="0">
          <a:scrgbClr r="0" g="0" b="0"/>
        </a:lnRef>
        <a:fillRef idx="0">
          <a:scrgbClr r="0" g="0" b="0"/>
        </a:fillRef>
        <a:effectRef idx="0">
          <a:scrgbClr r="0" g="0" b="0"/>
        </a:effectRef>
        <a:fontRef idx="minor"/>
      </dsp:style>
    </dsp:sp>
    <dsp:sp modelId="{E9F0E259-0F4B-463C-AC2F-F5FA5C595E5F}">
      <dsp:nvSpPr>
        <dsp:cNvPr id="0" name=""/>
        <dsp:cNvSpPr/>
      </dsp:nvSpPr>
      <dsp:spPr>
        <a:xfrm rot="5400000">
          <a:off x="3787751" y="2848460"/>
          <a:ext cx="368427" cy="41944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0EE7C16-702B-4958-8708-3B790C9C9D83}">
      <dsp:nvSpPr>
        <dsp:cNvPr id="0" name=""/>
        <dsp:cNvSpPr/>
      </dsp:nvSpPr>
      <dsp:spPr>
        <a:xfrm>
          <a:off x="3690140" y="2440051"/>
          <a:ext cx="620214" cy="4341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Parameter Tuning</a:t>
          </a:r>
        </a:p>
      </dsp:txBody>
      <dsp:txXfrm>
        <a:off x="3711336" y="2461247"/>
        <a:ext cx="577822" cy="391738"/>
      </dsp:txXfrm>
    </dsp:sp>
    <dsp:sp modelId="{E3D67AEE-F7FE-426D-B7CF-DB2FC965932B}">
      <dsp:nvSpPr>
        <dsp:cNvPr id="0" name=""/>
        <dsp:cNvSpPr/>
      </dsp:nvSpPr>
      <dsp:spPr>
        <a:xfrm>
          <a:off x="4310355" y="2481455"/>
          <a:ext cx="451085" cy="350883"/>
        </a:xfrm>
        <a:prstGeom prst="rect">
          <a:avLst/>
        </a:prstGeom>
        <a:noFill/>
        <a:ln>
          <a:noFill/>
        </a:ln>
        <a:effectLst/>
      </dsp:spPr>
      <dsp:style>
        <a:lnRef idx="0">
          <a:scrgbClr r="0" g="0" b="0"/>
        </a:lnRef>
        <a:fillRef idx="0">
          <a:scrgbClr r="0" g="0" b="0"/>
        </a:fillRef>
        <a:effectRef idx="0">
          <a:scrgbClr r="0" g="0" b="0"/>
        </a:effectRef>
        <a:fontRef idx="minor"/>
      </dsp:style>
    </dsp:sp>
    <dsp:sp modelId="{1E6970EE-DA7B-4CCC-A98A-E6BA09682785}">
      <dsp:nvSpPr>
        <dsp:cNvPr id="0" name=""/>
        <dsp:cNvSpPr/>
      </dsp:nvSpPr>
      <dsp:spPr>
        <a:xfrm>
          <a:off x="4204364" y="2927722"/>
          <a:ext cx="620214" cy="4341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Prediction</a:t>
          </a:r>
        </a:p>
      </dsp:txBody>
      <dsp:txXfrm>
        <a:off x="4225560" y="2948918"/>
        <a:ext cx="577822" cy="39173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6D2F-BF44-4CC2-AF15-63B5C136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6689</TotalTime>
  <Pages>10</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Ana Vrana</cp:lastModifiedBy>
  <cp:revision>58</cp:revision>
  <dcterms:created xsi:type="dcterms:W3CDTF">2020-03-31T00:53:00Z</dcterms:created>
  <dcterms:modified xsi:type="dcterms:W3CDTF">2020-04-07T03:57:00Z</dcterms:modified>
</cp:coreProperties>
</file>