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5A6B6" w14:textId="6405FA4C" w:rsidR="00377242" w:rsidRDefault="00CB1E24">
      <w:commentRangeStart w:id="0"/>
      <w:r>
        <w:t xml:space="preserve">Optimal values for </w:t>
      </w:r>
      <w:proofErr w:type="spellStart"/>
      <w:r>
        <w:rPr>
          <w:i/>
          <w:iCs/>
        </w:rPr>
        <w:t>fr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max</w:t>
      </w:r>
      <w:r>
        <w:rPr>
          <w:i/>
          <w:iCs/>
          <w:vertAlign w:val="subscript"/>
        </w:rPr>
        <w:t>f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mr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max</w:t>
      </w:r>
      <w:r>
        <w:rPr>
          <w:i/>
          <w:iCs/>
          <w:vertAlign w:val="subscript"/>
        </w:rPr>
        <w:t>m</w:t>
      </w:r>
      <w:proofErr w:type="spellEnd"/>
      <w:r>
        <w:t xml:space="preserve"> varied more across bootstrap iterations of the models fit with </w:t>
      </w:r>
      <w:r>
        <w:rPr>
          <w:i/>
          <w:iCs/>
        </w:rPr>
        <w:t>NR</w:t>
      </w:r>
      <w:r>
        <w:rPr>
          <w:i/>
          <w:iCs/>
          <w:vertAlign w:val="subscript"/>
        </w:rPr>
        <w:t>dorsal</w:t>
      </w:r>
      <w:r>
        <w:rPr>
          <w:i/>
          <w:iCs/>
        </w:rPr>
        <w:t xml:space="preserve"> </w:t>
      </w:r>
      <w:r>
        <w:t xml:space="preserve">than </w:t>
      </w:r>
      <w:r>
        <w:rPr>
          <w:i/>
          <w:iCs/>
        </w:rPr>
        <w:t>NR</w:t>
      </w:r>
      <w:r>
        <w:rPr>
          <w:i/>
          <w:iCs/>
          <w:vertAlign w:val="subscript"/>
        </w:rPr>
        <w:t>flipper</w:t>
      </w:r>
      <w:r>
        <w:rPr>
          <w:i/>
          <w:iCs/>
        </w:rPr>
        <w:t xml:space="preserve"> </w:t>
      </w:r>
      <w:r>
        <w:t>(</w:t>
      </w:r>
      <w:r>
        <w:fldChar w:fldCharType="begin"/>
      </w:r>
      <w:r>
        <w:instrText xml:space="preserve"> REF _Ref201835481 \h </w:instrText>
      </w:r>
      <w:r>
        <w:fldChar w:fldCharType="separate"/>
      </w:r>
      <w:r w:rsidRPr="0084730E">
        <w:rPr>
          <w:b/>
          <w:bCs/>
        </w:rPr>
        <w:t xml:space="preserve">Table </w:t>
      </w:r>
      <w:r>
        <w:rPr>
          <w:b/>
          <w:bCs/>
          <w:noProof/>
        </w:rPr>
        <w:t>2</w:t>
      </w:r>
      <w:r>
        <w:fldChar w:fldCharType="end"/>
      </w:r>
      <w:r>
        <w:t xml:space="preserve">), </w:t>
      </w:r>
      <w:commentRangeEnd w:id="0"/>
      <w:r>
        <w:rPr>
          <w:rStyle w:val="CommentReference"/>
        </w:rPr>
        <w:commentReference w:id="0"/>
      </w:r>
      <w:r>
        <w:t xml:space="preserve">resulting in generally higher levels of uncertainty associated with models based on </w:t>
      </w:r>
      <w:r>
        <w:rPr>
          <w:i/>
          <w:iCs/>
        </w:rPr>
        <w:t>NR</w:t>
      </w:r>
      <w:r>
        <w:rPr>
          <w:i/>
          <w:iCs/>
          <w:vertAlign w:val="subscript"/>
        </w:rPr>
        <w:t>dorsal</w:t>
      </w:r>
      <w:r>
        <w:t xml:space="preserve"> than </w:t>
      </w:r>
      <w:r>
        <w:rPr>
          <w:i/>
          <w:iCs/>
        </w:rPr>
        <w:t>NR</w:t>
      </w:r>
      <w:r>
        <w:rPr>
          <w:i/>
          <w:iCs/>
          <w:vertAlign w:val="subscript"/>
        </w:rPr>
        <w:t>flipper</w:t>
      </w:r>
      <w:r>
        <w:rPr>
          <w:i/>
          <w:iCs/>
        </w:rPr>
        <w:t xml:space="preserve"> </w:t>
      </w:r>
      <w:r>
        <w:t>(</w:t>
      </w:r>
      <w:r>
        <w:fldChar w:fldCharType="begin"/>
      </w:r>
      <w:r>
        <w:instrText xml:space="preserve"> REF _Ref201775677 \h </w:instrText>
      </w:r>
      <w:r>
        <w:fldChar w:fldCharType="separate"/>
      </w:r>
      <w:r w:rsidRPr="00A17E91">
        <w:rPr>
          <w:b/>
          <w:bCs/>
        </w:rPr>
        <w:t xml:space="preserve">Figure </w:t>
      </w:r>
      <w:r>
        <w:rPr>
          <w:b/>
          <w:bCs/>
          <w:noProof/>
        </w:rPr>
        <w:t>3</w:t>
      </w:r>
      <w:r>
        <w:fldChar w:fldCharType="end"/>
      </w:r>
      <w:r>
        <w:t>).</w:t>
      </w:r>
      <w:r w:rsidRPr="00CB1E24">
        <w:t xml:space="preserve"> </w:t>
      </w:r>
      <w:r>
        <w:t xml:space="preserve">), although some iterations of </w:t>
      </w:r>
      <w:r>
        <w:rPr>
          <w:i/>
          <w:iCs/>
        </w:rPr>
        <w:t>NR</w:t>
      </w:r>
      <w:r>
        <w:rPr>
          <w:i/>
          <w:iCs/>
          <w:vertAlign w:val="subscript"/>
        </w:rPr>
        <w:t>dorsal</w:t>
      </w:r>
      <w:r>
        <w:t xml:space="preserve"> models resulted in distant outliers of the male-specific parameters (</w:t>
      </w:r>
      <w:proofErr w:type="spellStart"/>
      <w:r w:rsidRPr="00BB3941">
        <w:rPr>
          <w:i/>
          <w:iCs/>
        </w:rPr>
        <w:t>mr</w:t>
      </w:r>
      <w:proofErr w:type="spellEnd"/>
      <w:r>
        <w:t xml:space="preserve"> and </w:t>
      </w:r>
      <w:proofErr w:type="spellStart"/>
      <w:r>
        <w:rPr>
          <w:i/>
          <w:iCs/>
        </w:rPr>
        <w:t>max</w:t>
      </w:r>
      <w:r>
        <w:rPr>
          <w:i/>
          <w:iCs/>
          <w:vertAlign w:val="subscript"/>
        </w:rPr>
        <w:t>m</w:t>
      </w:r>
      <w:proofErr w:type="spellEnd"/>
      <w:r>
        <w:t xml:space="preserve">; </w:t>
      </w:r>
      <w:r>
        <w:fldChar w:fldCharType="begin"/>
      </w:r>
      <w:r>
        <w:instrText xml:space="preserve"> REF _Ref201777558 \h </w:instrText>
      </w:r>
      <w:r>
        <w:fldChar w:fldCharType="separate"/>
      </w:r>
      <w:r w:rsidRPr="00170AE9">
        <w:rPr>
          <w:b/>
          <w:bCs/>
        </w:rPr>
        <w:t xml:space="preserve">Figure </w:t>
      </w:r>
      <w:r>
        <w:rPr>
          <w:b/>
          <w:bCs/>
          <w:noProof/>
        </w:rPr>
        <w:t>4</w:t>
      </w:r>
      <w:r>
        <w:fldChar w:fldCharType="end"/>
      </w:r>
      <w:r>
        <w:t>).</w:t>
      </w:r>
    </w:p>
    <w:p w14:paraId="6FCF0666" w14:textId="77777777" w:rsidR="00CB1E24" w:rsidRDefault="00CB1E24"/>
    <w:p w14:paraId="0667A914" w14:textId="77777777" w:rsidR="00CB1E24" w:rsidRPr="008E7641" w:rsidRDefault="00CB1E24" w:rsidP="00CB1E24">
      <w:pPr>
        <w:pStyle w:val="Caption"/>
        <w:keepNext/>
        <w:rPr>
          <w:i w:val="0"/>
          <w:iCs w:val="0"/>
          <w:color w:val="000000" w:themeColor="text1"/>
        </w:rPr>
      </w:pPr>
      <w:bookmarkStart w:id="1" w:name="_Ref201835481"/>
      <w:r w:rsidRPr="008E7641">
        <w:rPr>
          <w:b/>
          <w:bCs/>
          <w:color w:val="000000" w:themeColor="text1"/>
        </w:rPr>
        <w:t xml:space="preserve">Table </w:t>
      </w:r>
      <w:r w:rsidRPr="008E7641">
        <w:rPr>
          <w:b/>
          <w:bCs/>
          <w:color w:val="000000" w:themeColor="text1"/>
        </w:rPr>
        <w:fldChar w:fldCharType="begin"/>
      </w:r>
      <w:r w:rsidRPr="008E7641">
        <w:rPr>
          <w:b/>
          <w:bCs/>
          <w:color w:val="000000" w:themeColor="text1"/>
        </w:rPr>
        <w:instrText xml:space="preserve"> SEQ Table \* ARABIC </w:instrText>
      </w:r>
      <w:r w:rsidRPr="008E7641">
        <w:rPr>
          <w:b/>
          <w:bCs/>
          <w:color w:val="000000" w:themeColor="text1"/>
        </w:rPr>
        <w:fldChar w:fldCharType="separate"/>
      </w:r>
      <w:r w:rsidRPr="008E7641">
        <w:rPr>
          <w:b/>
          <w:bCs/>
          <w:noProof/>
          <w:color w:val="000000" w:themeColor="text1"/>
        </w:rPr>
        <w:t>2</w:t>
      </w:r>
      <w:r w:rsidRPr="008E7641">
        <w:rPr>
          <w:b/>
          <w:bCs/>
          <w:color w:val="000000" w:themeColor="text1"/>
        </w:rPr>
        <w:fldChar w:fldCharType="end"/>
      </w:r>
      <w:bookmarkEnd w:id="1"/>
      <w:r w:rsidRPr="008E7641">
        <w:rPr>
          <w:color w:val="000000" w:themeColor="text1"/>
        </w:rPr>
        <w:t xml:space="preserve">. </w:t>
      </w:r>
      <w:r w:rsidRPr="008E7641">
        <w:rPr>
          <w:i w:val="0"/>
          <w:iCs w:val="0"/>
          <w:color w:val="000000" w:themeColor="text1"/>
        </w:rPr>
        <w:t>Bootstrapped means and 95</w:t>
      </w:r>
      <w:r w:rsidRPr="008E7641">
        <w:rPr>
          <w:i w:val="0"/>
          <w:iCs w:val="0"/>
          <w:color w:val="000000" w:themeColor="text1"/>
          <w:vertAlign w:val="superscript"/>
        </w:rPr>
        <w:t>th</w:t>
      </w:r>
      <w:r w:rsidRPr="008E7641">
        <w:rPr>
          <w:i w:val="0"/>
          <w:iCs w:val="0"/>
          <w:color w:val="000000" w:themeColor="text1"/>
        </w:rPr>
        <w:t xml:space="preserve"> percentile confidence intervals (95% CI) based on 1000 iterations for parameters relating sperm whale length (m) and </w:t>
      </w:r>
      <w:commentRangeStart w:id="2"/>
      <w:r w:rsidRPr="008E7641">
        <w:rPr>
          <w:i w:val="0"/>
          <w:iCs w:val="0"/>
          <w:color w:val="000000" w:themeColor="text1"/>
        </w:rPr>
        <w:t xml:space="preserve">nose-to-body ratio </w:t>
      </w:r>
      <w:commentRangeEnd w:id="2"/>
      <w:r w:rsidRPr="008E7641">
        <w:rPr>
          <w:rStyle w:val="CommentReference"/>
          <w:i w:val="0"/>
          <w:iCs w:val="0"/>
          <w:color w:val="000000" w:themeColor="text1"/>
        </w:rPr>
        <w:commentReference w:id="2"/>
      </w:r>
      <w:r w:rsidRPr="008E7641">
        <w:rPr>
          <w:i w:val="0"/>
          <w:iCs w:val="0"/>
          <w:color w:val="000000" w:themeColor="text1"/>
        </w:rPr>
        <w:t>(</w:t>
      </w:r>
      <w:r w:rsidRPr="008E7641">
        <w:rPr>
          <w:color w:val="000000" w:themeColor="text1"/>
        </w:rPr>
        <w:t>NR</w:t>
      </w:r>
      <w:r w:rsidRPr="008E7641">
        <w:rPr>
          <w:i w:val="0"/>
          <w:iCs w:val="0"/>
          <w:color w:val="000000" w:themeColor="text1"/>
        </w:rPr>
        <w:t>) metrics based on snout to the caudal base of the dorsal fin (</w:t>
      </w:r>
      <w:r w:rsidRPr="008E7641">
        <w:rPr>
          <w:color w:val="000000" w:themeColor="text1"/>
        </w:rPr>
        <w:t>NR</w:t>
      </w:r>
      <w:r w:rsidRPr="008E7641">
        <w:rPr>
          <w:i w:val="0"/>
          <w:iCs w:val="0"/>
          <w:color w:val="000000" w:themeColor="text1"/>
          <w:vertAlign w:val="subscript"/>
        </w:rPr>
        <w:t>dorsal</w:t>
      </w:r>
      <w:r w:rsidRPr="008E7641">
        <w:rPr>
          <w:i w:val="0"/>
          <w:iCs w:val="0"/>
          <w:color w:val="000000" w:themeColor="text1"/>
        </w:rPr>
        <w:t>) and on snout to the flipper insertion point (</w:t>
      </w:r>
      <w:r w:rsidRPr="008E7641">
        <w:rPr>
          <w:color w:val="000000" w:themeColor="text1"/>
        </w:rPr>
        <w:t>NR</w:t>
      </w:r>
      <w:r w:rsidRPr="008E7641">
        <w:rPr>
          <w:color w:val="000000" w:themeColor="text1"/>
          <w:vertAlign w:val="subscript"/>
        </w:rPr>
        <w:t>flipper</w:t>
      </w:r>
      <w:r w:rsidRPr="008E7641">
        <w:rPr>
          <w:i w:val="0"/>
          <w:iCs w:val="0"/>
          <w:color w:val="000000" w:themeColor="text1"/>
        </w:rPr>
        <w:t>). Parameters reflect the growth rate of females and small males (</w:t>
      </w:r>
      <w:r w:rsidRPr="008E7641">
        <w:rPr>
          <w:color w:val="000000" w:themeColor="text1"/>
        </w:rPr>
        <w:t>≤</w:t>
      </w:r>
      <w:r w:rsidRPr="008E7641">
        <w:rPr>
          <w:i w:val="0"/>
          <w:iCs w:val="0"/>
          <w:color w:val="000000" w:themeColor="text1"/>
        </w:rPr>
        <w:t xml:space="preserve"> 6 m) (</w:t>
      </w:r>
      <w:proofErr w:type="spellStart"/>
      <w:r w:rsidRPr="008E7641">
        <w:rPr>
          <w:color w:val="000000" w:themeColor="text1"/>
        </w:rPr>
        <w:t>fr</w:t>
      </w:r>
      <w:proofErr w:type="spellEnd"/>
      <w:r w:rsidRPr="008E7641">
        <w:rPr>
          <w:i w:val="0"/>
          <w:iCs w:val="0"/>
          <w:color w:val="000000" w:themeColor="text1"/>
        </w:rPr>
        <w:t xml:space="preserve">), the female asymptote of </w:t>
      </w:r>
      <w:r w:rsidRPr="008E7641">
        <w:rPr>
          <w:color w:val="000000" w:themeColor="text1"/>
        </w:rPr>
        <w:t xml:space="preserve">R </w:t>
      </w:r>
      <w:r w:rsidRPr="008E7641">
        <w:rPr>
          <w:i w:val="0"/>
          <w:iCs w:val="0"/>
          <w:color w:val="000000" w:themeColor="text1"/>
        </w:rPr>
        <w:t>(</w:t>
      </w:r>
      <w:proofErr w:type="spellStart"/>
      <w:r w:rsidRPr="008E7641">
        <w:rPr>
          <w:color w:val="000000" w:themeColor="text1"/>
        </w:rPr>
        <w:t>max</w:t>
      </w:r>
      <w:r w:rsidRPr="008E7641">
        <w:rPr>
          <w:color w:val="000000" w:themeColor="text1"/>
          <w:vertAlign w:val="subscript"/>
        </w:rPr>
        <w:t>f</w:t>
      </w:r>
      <w:proofErr w:type="spellEnd"/>
      <w:r w:rsidRPr="008E7641">
        <w:rPr>
          <w:i w:val="0"/>
          <w:iCs w:val="0"/>
          <w:color w:val="000000" w:themeColor="text1"/>
        </w:rPr>
        <w:t>), the growth rate of larger males (</w:t>
      </w:r>
      <w:r w:rsidRPr="008E7641">
        <w:rPr>
          <w:i w:val="0"/>
          <w:iCs w:val="0"/>
          <w:color w:val="000000" w:themeColor="text1"/>
        </w:rPr>
        <w:sym w:font="Symbol" w:char="F03E"/>
      </w:r>
      <w:r w:rsidRPr="008E7641">
        <w:rPr>
          <w:i w:val="0"/>
          <w:iCs w:val="0"/>
          <w:color w:val="000000" w:themeColor="text1"/>
        </w:rPr>
        <w:t xml:space="preserve"> 6 m) (</w:t>
      </w:r>
      <w:proofErr w:type="spellStart"/>
      <w:r w:rsidRPr="008E7641">
        <w:rPr>
          <w:color w:val="000000" w:themeColor="text1"/>
        </w:rPr>
        <w:t>mr</w:t>
      </w:r>
      <w:proofErr w:type="spellEnd"/>
      <w:r w:rsidRPr="008E7641">
        <w:rPr>
          <w:i w:val="0"/>
          <w:iCs w:val="0"/>
          <w:color w:val="000000" w:themeColor="text1"/>
        </w:rPr>
        <w:t xml:space="preserve">), </w:t>
      </w:r>
      <w:commentRangeStart w:id="3"/>
      <w:r w:rsidRPr="008E7641">
        <w:rPr>
          <w:i w:val="0"/>
          <w:iCs w:val="0"/>
          <w:color w:val="000000" w:themeColor="text1"/>
        </w:rPr>
        <w:t xml:space="preserve">and the male asymptote of </w:t>
      </w:r>
      <w:r w:rsidRPr="008E7641">
        <w:rPr>
          <w:color w:val="000000" w:themeColor="text1"/>
        </w:rPr>
        <w:t xml:space="preserve">R </w:t>
      </w:r>
      <w:r w:rsidRPr="008E7641">
        <w:rPr>
          <w:i w:val="0"/>
          <w:iCs w:val="0"/>
          <w:color w:val="000000" w:themeColor="text1"/>
        </w:rPr>
        <w:t>(</w:t>
      </w:r>
      <w:proofErr w:type="spellStart"/>
      <w:r w:rsidRPr="008E7641">
        <w:rPr>
          <w:color w:val="000000" w:themeColor="text1"/>
        </w:rPr>
        <w:t>max</w:t>
      </w:r>
      <w:r w:rsidRPr="008E7641">
        <w:rPr>
          <w:color w:val="000000" w:themeColor="text1"/>
          <w:vertAlign w:val="subscript"/>
        </w:rPr>
        <w:t>m</w:t>
      </w:r>
      <w:proofErr w:type="spellEnd"/>
      <w:r w:rsidRPr="008E7641">
        <w:rPr>
          <w:i w:val="0"/>
          <w:iCs w:val="0"/>
          <w:color w:val="000000" w:themeColor="text1"/>
        </w:rPr>
        <w:t>)</w:t>
      </w:r>
      <w:commentRangeEnd w:id="3"/>
      <w:r>
        <w:rPr>
          <w:rStyle w:val="CommentReference"/>
          <w:i w:val="0"/>
          <w:iCs w:val="0"/>
          <w:color w:val="auto"/>
        </w:rPr>
        <w:commentReference w:id="3"/>
      </w:r>
      <w:r w:rsidRPr="008E7641">
        <w:rPr>
          <w:i w:val="0"/>
          <w:iCs w:val="0"/>
          <w:color w:val="000000" w:themeColor="text1"/>
        </w:rPr>
        <w:t>.</w:t>
      </w:r>
    </w:p>
    <w:tbl>
      <w:tblPr>
        <w:tblStyle w:val="PlainTable4"/>
        <w:tblW w:w="0" w:type="auto"/>
        <w:tblBorders>
          <w:top w:val="single" w:sz="4" w:space="0" w:color="auto"/>
          <w:bottom w:val="single" w:sz="4" w:space="0" w:color="auto"/>
        </w:tblBorders>
        <w:tblLook w:val="0420" w:firstRow="1" w:lastRow="0" w:firstColumn="0" w:lastColumn="0" w:noHBand="0" w:noVBand="1"/>
      </w:tblPr>
      <w:tblGrid>
        <w:gridCol w:w="1701"/>
        <w:gridCol w:w="1843"/>
        <w:gridCol w:w="1920"/>
        <w:gridCol w:w="1861"/>
        <w:gridCol w:w="1861"/>
      </w:tblGrid>
      <w:tr w:rsidR="00CB1E24" w:rsidRPr="00DF217B" w14:paraId="61B3D7C1" w14:textId="77777777" w:rsidTr="00DC6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1CE1BDD" w14:textId="77777777" w:rsidR="00CB1E24" w:rsidRPr="00DF217B" w:rsidRDefault="00CB1E24" w:rsidP="00DC6F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40"/>
              <w:ind w:left="102" w:right="102"/>
              <w:rPr>
                <w:rFonts w:eastAsia="Arial"/>
                <w:color w:val="000000"/>
                <w:sz w:val="20"/>
                <w:szCs w:val="20"/>
              </w:rPr>
            </w:pPr>
            <w:r w:rsidRPr="00DF217B">
              <w:rPr>
                <w:rFonts w:eastAsia="Arial"/>
                <w:i/>
                <w:iCs/>
                <w:color w:val="000000"/>
                <w:sz w:val="20"/>
                <w:szCs w:val="20"/>
              </w:rPr>
              <w:t>R</w:t>
            </w:r>
            <w:r w:rsidRPr="00DF217B">
              <w:rPr>
                <w:rFonts w:eastAsia="Arial"/>
                <w:color w:val="000000"/>
                <w:sz w:val="20"/>
                <w:szCs w:val="20"/>
              </w:rPr>
              <w:t xml:space="preserve"> Metric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B0FBE94" w14:textId="77777777" w:rsidR="00CB1E24" w:rsidRPr="00DF217B" w:rsidRDefault="00CB1E24" w:rsidP="00DC6F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40"/>
              <w:ind w:left="102" w:right="102"/>
              <w:rPr>
                <w:rFonts w:eastAsia="Arial"/>
                <w:color w:val="000000"/>
                <w:sz w:val="20"/>
                <w:szCs w:val="20"/>
              </w:rPr>
            </w:pPr>
            <w:proofErr w:type="spellStart"/>
            <w:r w:rsidRPr="00DF217B">
              <w:rPr>
                <w:rFonts w:eastAsia="Arial"/>
                <w:i/>
                <w:iCs/>
                <w:color w:val="000000"/>
                <w:sz w:val="20"/>
                <w:szCs w:val="20"/>
              </w:rPr>
              <w:t>fr</w:t>
            </w:r>
            <w:proofErr w:type="spellEnd"/>
            <w:r w:rsidRPr="00DF217B">
              <w:rPr>
                <w:rFonts w:eastAsia="Arial"/>
                <w:color w:val="000000"/>
                <w:sz w:val="20"/>
                <w:szCs w:val="20"/>
              </w:rPr>
              <w:t xml:space="preserve"> [95% CI]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60F370A" w14:textId="77777777" w:rsidR="00CB1E24" w:rsidRPr="00DF217B" w:rsidRDefault="00CB1E24" w:rsidP="00DC6F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40"/>
              <w:ind w:left="102" w:right="102"/>
              <w:rPr>
                <w:rFonts w:eastAsia="Arial"/>
                <w:color w:val="000000"/>
                <w:sz w:val="20"/>
                <w:szCs w:val="20"/>
              </w:rPr>
            </w:pPr>
            <w:proofErr w:type="spellStart"/>
            <w:r w:rsidRPr="00DF217B">
              <w:rPr>
                <w:rFonts w:eastAsia="Arial"/>
                <w:i/>
                <w:iCs/>
                <w:color w:val="000000"/>
                <w:sz w:val="20"/>
                <w:szCs w:val="20"/>
              </w:rPr>
              <w:t>max</w:t>
            </w:r>
            <w:r w:rsidRPr="00DF217B">
              <w:rPr>
                <w:rFonts w:eastAsia="Arial"/>
                <w:i/>
                <w:iCs/>
                <w:color w:val="000000"/>
                <w:sz w:val="20"/>
                <w:szCs w:val="20"/>
                <w:vertAlign w:val="subscript"/>
              </w:rPr>
              <w:t>f</w:t>
            </w:r>
            <w:proofErr w:type="spellEnd"/>
            <w:r w:rsidRPr="00DF217B">
              <w:rPr>
                <w:rFonts w:eastAsia="Arial"/>
                <w:color w:val="000000"/>
                <w:sz w:val="20"/>
                <w:szCs w:val="20"/>
                <w:vertAlign w:val="subscript"/>
              </w:rPr>
              <w:t xml:space="preserve"> </w:t>
            </w:r>
            <w:r w:rsidRPr="00DF217B">
              <w:rPr>
                <w:rFonts w:eastAsia="Arial"/>
                <w:color w:val="000000"/>
                <w:sz w:val="20"/>
                <w:szCs w:val="20"/>
              </w:rPr>
              <w:t>[95% CI]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0BF5D77" w14:textId="77777777" w:rsidR="00CB1E24" w:rsidRPr="00DF217B" w:rsidRDefault="00CB1E24" w:rsidP="00DC6F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40"/>
              <w:ind w:left="102" w:right="102"/>
              <w:rPr>
                <w:rFonts w:eastAsia="Arial"/>
                <w:color w:val="000000"/>
                <w:sz w:val="20"/>
                <w:szCs w:val="20"/>
              </w:rPr>
            </w:pPr>
            <w:proofErr w:type="spellStart"/>
            <w:r w:rsidRPr="00DF217B">
              <w:rPr>
                <w:rFonts w:eastAsia="Arial"/>
                <w:i/>
                <w:iCs/>
                <w:color w:val="000000"/>
                <w:sz w:val="20"/>
                <w:szCs w:val="20"/>
              </w:rPr>
              <w:t>mr</w:t>
            </w:r>
            <w:proofErr w:type="spellEnd"/>
            <w:r w:rsidRPr="00DF217B">
              <w:rPr>
                <w:rFonts w:eastAsia="Arial"/>
                <w:color w:val="000000"/>
                <w:sz w:val="20"/>
                <w:szCs w:val="20"/>
              </w:rPr>
              <w:t xml:space="preserve"> [95% CI]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871681C" w14:textId="77777777" w:rsidR="00CB1E24" w:rsidRPr="00DF217B" w:rsidRDefault="00CB1E24" w:rsidP="00DC6F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40"/>
              <w:ind w:left="102" w:right="102"/>
              <w:rPr>
                <w:rFonts w:eastAsia="Arial"/>
                <w:color w:val="000000"/>
                <w:sz w:val="20"/>
                <w:szCs w:val="20"/>
                <w:vertAlign w:val="subscript"/>
              </w:rPr>
            </w:pPr>
            <w:proofErr w:type="spellStart"/>
            <w:r w:rsidRPr="00DF217B">
              <w:rPr>
                <w:rFonts w:eastAsia="Arial"/>
                <w:i/>
                <w:iCs/>
                <w:color w:val="000000"/>
                <w:sz w:val="20"/>
                <w:szCs w:val="20"/>
              </w:rPr>
              <w:t>max</w:t>
            </w:r>
            <w:r w:rsidRPr="00DF217B">
              <w:rPr>
                <w:rFonts w:eastAsia="Arial"/>
                <w:i/>
                <w:iCs/>
                <w:color w:val="000000"/>
                <w:sz w:val="20"/>
                <w:szCs w:val="20"/>
                <w:vertAlign w:val="subscript"/>
              </w:rPr>
              <w:t>m</w:t>
            </w:r>
            <w:proofErr w:type="spellEnd"/>
            <w:r w:rsidRPr="00DF217B">
              <w:rPr>
                <w:rFonts w:eastAsia="Arial"/>
                <w:color w:val="000000"/>
                <w:sz w:val="20"/>
                <w:szCs w:val="20"/>
                <w:vertAlign w:val="subscript"/>
              </w:rPr>
              <w:t xml:space="preserve"> </w:t>
            </w:r>
            <w:r w:rsidRPr="00DF217B">
              <w:rPr>
                <w:rFonts w:eastAsia="Arial"/>
                <w:color w:val="000000"/>
                <w:sz w:val="20"/>
                <w:szCs w:val="20"/>
              </w:rPr>
              <w:t>[95% CI]</w:t>
            </w:r>
          </w:p>
        </w:tc>
      </w:tr>
      <w:tr w:rsidR="00CB1E24" w:rsidRPr="00DF217B" w14:paraId="6641B442" w14:textId="77777777" w:rsidTr="00DC6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4B69024C" w14:textId="77777777" w:rsidR="00CB1E24" w:rsidRPr="008E7641" w:rsidRDefault="00CB1E24" w:rsidP="00DC6F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40"/>
              <w:ind w:left="102" w:right="102"/>
              <w:rPr>
                <w:rFonts w:eastAsia="Arial"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DF217B">
              <w:rPr>
                <w:rFonts w:eastAsia="Arial"/>
                <w:i/>
                <w:iCs/>
                <w:color w:val="000000"/>
                <w:sz w:val="20"/>
                <w:szCs w:val="20"/>
              </w:rPr>
              <w:t>NR</w:t>
            </w:r>
            <w:r>
              <w:rPr>
                <w:rFonts w:eastAsia="Arial"/>
                <w:i/>
                <w:iCs/>
                <w:color w:val="000000"/>
                <w:sz w:val="20"/>
                <w:szCs w:val="20"/>
                <w:vertAlign w:val="subscript"/>
              </w:rPr>
              <w:t>dorsal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1689E8C4" w14:textId="77777777" w:rsidR="00CB1E24" w:rsidRPr="00DF217B" w:rsidRDefault="00CB1E24" w:rsidP="00DC6F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40"/>
              <w:ind w:left="102" w:right="102"/>
              <w:rPr>
                <w:rFonts w:eastAsia="Arial"/>
                <w:color w:val="000000"/>
                <w:sz w:val="20"/>
                <w:szCs w:val="20"/>
              </w:rPr>
            </w:pPr>
            <w:r w:rsidRPr="00DF217B">
              <w:rPr>
                <w:rFonts w:eastAsia="Arial"/>
                <w:color w:val="000000"/>
                <w:sz w:val="20"/>
                <w:szCs w:val="20"/>
              </w:rPr>
              <w:t>2.8 (0.63 - 14.9)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shd w:val="clear" w:color="auto" w:fill="auto"/>
          </w:tcPr>
          <w:p w14:paraId="43B361CC" w14:textId="77777777" w:rsidR="00CB1E24" w:rsidRPr="00DF217B" w:rsidRDefault="00CB1E24" w:rsidP="00DC6F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40"/>
              <w:ind w:left="102" w:right="102"/>
              <w:rPr>
                <w:rFonts w:eastAsia="Arial"/>
                <w:color w:val="000000"/>
                <w:sz w:val="20"/>
                <w:szCs w:val="20"/>
              </w:rPr>
            </w:pPr>
            <w:r w:rsidRPr="00DF217B">
              <w:rPr>
                <w:rFonts w:eastAsia="Arial"/>
                <w:color w:val="000000"/>
                <w:sz w:val="20"/>
                <w:szCs w:val="20"/>
              </w:rPr>
              <w:t>0.65 (0.64 - 0.65)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53BBAA99" w14:textId="77777777" w:rsidR="00CB1E24" w:rsidRPr="00DF217B" w:rsidRDefault="00CB1E24" w:rsidP="00DC6F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40"/>
              <w:ind w:left="102" w:right="102"/>
              <w:rPr>
                <w:rFonts w:eastAsia="Arial"/>
                <w:color w:val="000000"/>
                <w:sz w:val="20"/>
                <w:szCs w:val="20"/>
              </w:rPr>
            </w:pPr>
            <w:r w:rsidRPr="00DF217B">
              <w:rPr>
                <w:rFonts w:eastAsia="Arial"/>
                <w:color w:val="000000"/>
                <w:sz w:val="20"/>
                <w:szCs w:val="20"/>
              </w:rPr>
              <w:t>0.2 (0.01 - 0.62)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618C811A" w14:textId="77777777" w:rsidR="00CB1E24" w:rsidRPr="00DF217B" w:rsidRDefault="00CB1E24" w:rsidP="00DC6F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40"/>
              <w:ind w:left="102" w:right="102"/>
              <w:rPr>
                <w:rFonts w:eastAsia="Arial"/>
                <w:color w:val="000000"/>
                <w:sz w:val="20"/>
                <w:szCs w:val="20"/>
              </w:rPr>
            </w:pPr>
            <w:r w:rsidRPr="00DF217B">
              <w:rPr>
                <w:rFonts w:eastAsia="Arial"/>
                <w:color w:val="000000"/>
                <w:sz w:val="20"/>
                <w:szCs w:val="20"/>
              </w:rPr>
              <w:t>0.89 (0.22 - 4.79)</w:t>
            </w:r>
          </w:p>
        </w:tc>
      </w:tr>
      <w:tr w:rsidR="00CB1E24" w:rsidRPr="00DF217B" w14:paraId="5BCE12FF" w14:textId="77777777" w:rsidTr="00DC6F9B">
        <w:trPr>
          <w:trHeight w:val="279"/>
        </w:trPr>
        <w:tc>
          <w:tcPr>
            <w:tcW w:w="1701" w:type="dxa"/>
            <w:shd w:val="clear" w:color="auto" w:fill="auto"/>
          </w:tcPr>
          <w:p w14:paraId="01AD44D0" w14:textId="77777777" w:rsidR="00CB1E24" w:rsidRPr="008E7641" w:rsidRDefault="00CB1E24" w:rsidP="00DC6F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40"/>
              <w:ind w:left="102" w:right="102"/>
              <w:rPr>
                <w:rFonts w:eastAsia="Arial"/>
                <w:i/>
                <w:iCs/>
                <w:color w:val="000000"/>
                <w:sz w:val="20"/>
                <w:szCs w:val="20"/>
                <w:vertAlign w:val="subscript"/>
              </w:rPr>
            </w:pPr>
            <w:r w:rsidRPr="00DF217B">
              <w:rPr>
                <w:rFonts w:eastAsia="Arial"/>
                <w:i/>
                <w:iCs/>
                <w:color w:val="000000"/>
                <w:sz w:val="20"/>
                <w:szCs w:val="20"/>
              </w:rPr>
              <w:t>NR</w:t>
            </w:r>
            <w:r>
              <w:rPr>
                <w:rFonts w:eastAsia="Arial"/>
                <w:i/>
                <w:iCs/>
                <w:color w:val="000000"/>
                <w:sz w:val="20"/>
                <w:szCs w:val="20"/>
                <w:vertAlign w:val="subscript"/>
              </w:rPr>
              <w:t>flipper</w:t>
            </w:r>
          </w:p>
        </w:tc>
        <w:tc>
          <w:tcPr>
            <w:tcW w:w="1843" w:type="dxa"/>
            <w:shd w:val="clear" w:color="auto" w:fill="auto"/>
          </w:tcPr>
          <w:p w14:paraId="6F358433" w14:textId="77777777" w:rsidR="00CB1E24" w:rsidRPr="00DF217B" w:rsidRDefault="00CB1E24" w:rsidP="00DC6F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40"/>
              <w:ind w:left="102" w:right="102"/>
              <w:rPr>
                <w:rFonts w:eastAsia="Arial"/>
                <w:color w:val="000000"/>
                <w:sz w:val="20"/>
                <w:szCs w:val="20"/>
              </w:rPr>
            </w:pPr>
            <w:r w:rsidRPr="00DF217B">
              <w:rPr>
                <w:rFonts w:eastAsia="Arial"/>
                <w:color w:val="000000"/>
                <w:sz w:val="20"/>
                <w:szCs w:val="20"/>
              </w:rPr>
              <w:t>2.26 (0.5 - 33.64)</w:t>
            </w:r>
          </w:p>
        </w:tc>
        <w:tc>
          <w:tcPr>
            <w:tcW w:w="1920" w:type="dxa"/>
            <w:shd w:val="clear" w:color="auto" w:fill="auto"/>
          </w:tcPr>
          <w:p w14:paraId="731D91E9" w14:textId="77777777" w:rsidR="00CB1E24" w:rsidRPr="00DF217B" w:rsidRDefault="00CB1E24" w:rsidP="00DC6F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40"/>
              <w:ind w:left="102" w:right="102"/>
              <w:rPr>
                <w:rFonts w:eastAsia="Arial"/>
                <w:color w:val="000000"/>
                <w:sz w:val="20"/>
                <w:szCs w:val="20"/>
              </w:rPr>
            </w:pPr>
            <w:r w:rsidRPr="00DF217B">
              <w:rPr>
                <w:rFonts w:eastAsia="Arial"/>
                <w:color w:val="000000"/>
                <w:sz w:val="20"/>
                <w:szCs w:val="20"/>
              </w:rPr>
              <w:t>0.3 (0.3 - 0.3)</w:t>
            </w:r>
          </w:p>
        </w:tc>
        <w:tc>
          <w:tcPr>
            <w:tcW w:w="0" w:type="auto"/>
            <w:shd w:val="clear" w:color="auto" w:fill="auto"/>
          </w:tcPr>
          <w:p w14:paraId="50739274" w14:textId="77777777" w:rsidR="00CB1E24" w:rsidRPr="00DF217B" w:rsidRDefault="00CB1E24" w:rsidP="00DC6F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40"/>
              <w:ind w:left="102" w:right="102"/>
              <w:rPr>
                <w:rFonts w:eastAsia="Arial"/>
                <w:color w:val="000000"/>
                <w:sz w:val="20"/>
                <w:szCs w:val="20"/>
              </w:rPr>
            </w:pPr>
            <w:r w:rsidRPr="00DF217B">
              <w:rPr>
                <w:rFonts w:eastAsia="Arial"/>
                <w:color w:val="000000"/>
                <w:sz w:val="20"/>
                <w:szCs w:val="20"/>
              </w:rPr>
              <w:t>0.05 (0.01 - 0.16)</w:t>
            </w:r>
          </w:p>
        </w:tc>
        <w:tc>
          <w:tcPr>
            <w:tcW w:w="0" w:type="auto"/>
            <w:shd w:val="clear" w:color="auto" w:fill="auto"/>
          </w:tcPr>
          <w:p w14:paraId="7CC63AE3" w14:textId="77777777" w:rsidR="00CB1E24" w:rsidRPr="00DF217B" w:rsidRDefault="00CB1E24" w:rsidP="00DC6F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40"/>
              <w:ind w:left="102" w:right="102"/>
              <w:rPr>
                <w:rFonts w:eastAsia="Arial"/>
                <w:color w:val="000000"/>
                <w:sz w:val="20"/>
                <w:szCs w:val="20"/>
              </w:rPr>
            </w:pPr>
            <w:r w:rsidRPr="00DF217B">
              <w:rPr>
                <w:rFonts w:eastAsia="Arial"/>
                <w:color w:val="000000"/>
                <w:sz w:val="20"/>
                <w:szCs w:val="20"/>
              </w:rPr>
              <w:t>2.05 (0.45 - 6.89)</w:t>
            </w:r>
          </w:p>
        </w:tc>
      </w:tr>
    </w:tbl>
    <w:p w14:paraId="0BBB9649" w14:textId="77777777" w:rsidR="00CB1E24" w:rsidRPr="000851A3" w:rsidRDefault="00CB1E24" w:rsidP="00CB1E24"/>
    <w:p w14:paraId="41697985" w14:textId="77777777" w:rsidR="00CB1E24" w:rsidRDefault="00CB1E24"/>
    <w:p w14:paraId="709CEFA6" w14:textId="77777777" w:rsidR="00CB1E24" w:rsidRDefault="00CB1E24"/>
    <w:p w14:paraId="2C8E996D" w14:textId="77777777" w:rsidR="00CB1E24" w:rsidRDefault="00CB1E24"/>
    <w:p w14:paraId="06A7A8AD" w14:textId="77777777" w:rsidR="00CB1E24" w:rsidRDefault="00CB1E24" w:rsidP="00CB1E24">
      <w:pPr>
        <w:keepNext/>
      </w:pPr>
      <w:r>
        <w:rPr>
          <w:noProof/>
        </w:rPr>
        <w:drawing>
          <wp:inline distT="0" distB="0" distL="0" distR="0" wp14:anchorId="0BC03303" wp14:editId="67719ECD">
            <wp:extent cx="5943600" cy="2971800"/>
            <wp:effectExtent l="0" t="0" r="0" b="0"/>
            <wp:docPr id="338157146" name="Picture 24" descr="A comparison of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57146" name="Picture 24" descr="A comparison of a line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A300" w14:textId="77777777" w:rsidR="00CB1E24" w:rsidRDefault="00CB1E24" w:rsidP="00CB1E24">
      <w:pPr>
        <w:pStyle w:val="Caption"/>
        <w:rPr>
          <w:i w:val="0"/>
          <w:iCs w:val="0"/>
          <w:color w:val="auto"/>
        </w:rPr>
      </w:pPr>
      <w:bookmarkStart w:id="4" w:name="_Ref201775677"/>
      <w:commentRangeStart w:id="5"/>
      <w:r w:rsidRPr="00A17E91">
        <w:rPr>
          <w:b/>
          <w:bCs/>
          <w:color w:val="auto"/>
        </w:rPr>
        <w:t xml:space="preserve">Figure </w:t>
      </w:r>
      <w:r w:rsidRPr="00A17E91">
        <w:rPr>
          <w:b/>
          <w:bCs/>
          <w:color w:val="auto"/>
        </w:rPr>
        <w:fldChar w:fldCharType="begin"/>
      </w:r>
      <w:r w:rsidRPr="00A17E91">
        <w:rPr>
          <w:b/>
          <w:bCs/>
          <w:color w:val="auto"/>
        </w:rPr>
        <w:instrText xml:space="preserve"> SEQ Figure \* ARABIC </w:instrText>
      </w:r>
      <w:r w:rsidRPr="00A17E91"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4</w:t>
      </w:r>
      <w:r w:rsidRPr="00A17E91">
        <w:rPr>
          <w:b/>
          <w:bCs/>
          <w:color w:val="auto"/>
        </w:rPr>
        <w:fldChar w:fldCharType="end"/>
      </w:r>
      <w:bookmarkEnd w:id="4"/>
      <w:r w:rsidRPr="00A17E91">
        <w:rPr>
          <w:b/>
          <w:bCs/>
          <w:color w:val="auto"/>
        </w:rPr>
        <w:t xml:space="preserve">. </w:t>
      </w:r>
      <w:r w:rsidRPr="00A17E91">
        <w:rPr>
          <w:i w:val="0"/>
          <w:iCs w:val="0"/>
          <w:color w:val="auto"/>
        </w:rPr>
        <w:t>Bootstrapped logistic curves of the total length (m) and the nose-to-body ratio of sperm whales based on measures of the snout to the caudal base of the dorsal fin (</w:t>
      </w:r>
      <w:r>
        <w:rPr>
          <w:i w:val="0"/>
          <w:iCs w:val="0"/>
          <w:color w:val="auto"/>
        </w:rPr>
        <w:t>a</w:t>
      </w:r>
      <w:r w:rsidRPr="00A17E91">
        <w:rPr>
          <w:i w:val="0"/>
          <w:iCs w:val="0"/>
          <w:color w:val="auto"/>
        </w:rPr>
        <w:t>) and snout to the base of the flipper (</w:t>
      </w:r>
      <w:r>
        <w:rPr>
          <w:i w:val="0"/>
          <w:iCs w:val="0"/>
          <w:color w:val="auto"/>
        </w:rPr>
        <w:t>b</w:t>
      </w:r>
      <w:r w:rsidRPr="00A17E91">
        <w:rPr>
          <w:i w:val="0"/>
          <w:iCs w:val="0"/>
          <w:color w:val="auto"/>
        </w:rPr>
        <w:t xml:space="preserve">). Theoretical male curves are shown in violet and theoretical female curves are shown in green. The average </w:t>
      </w:r>
      <w:r>
        <w:rPr>
          <w:color w:val="auto"/>
        </w:rPr>
        <w:t>N</w:t>
      </w:r>
      <w:commentRangeStart w:id="6"/>
      <w:r w:rsidRPr="00A17E91">
        <w:rPr>
          <w:color w:val="auto"/>
        </w:rPr>
        <w:t xml:space="preserve">R </w:t>
      </w:r>
      <w:r w:rsidRPr="00A17E91">
        <w:rPr>
          <w:i w:val="0"/>
          <w:iCs w:val="0"/>
          <w:color w:val="auto"/>
        </w:rPr>
        <w:t xml:space="preserve">values </w:t>
      </w:r>
      <w:commentRangeEnd w:id="6"/>
      <w:r>
        <w:rPr>
          <w:rStyle w:val="CommentReference"/>
          <w:i w:val="0"/>
          <w:iCs w:val="0"/>
          <w:color w:val="auto"/>
        </w:rPr>
        <w:commentReference w:id="6"/>
      </w:r>
      <w:r w:rsidRPr="00A17E91">
        <w:rPr>
          <w:i w:val="0"/>
          <w:iCs w:val="0"/>
          <w:color w:val="auto"/>
        </w:rPr>
        <w:t>across iterations are shown by light violet</w:t>
      </w:r>
      <w:r>
        <w:rPr>
          <w:i w:val="0"/>
          <w:iCs w:val="0"/>
          <w:color w:val="auto"/>
        </w:rPr>
        <w:t xml:space="preserve"> dashed</w:t>
      </w:r>
      <w:r w:rsidRPr="00A17E91">
        <w:rPr>
          <w:i w:val="0"/>
          <w:iCs w:val="0"/>
          <w:color w:val="auto"/>
        </w:rPr>
        <w:t xml:space="preserve"> and green</w:t>
      </w:r>
      <w:r>
        <w:rPr>
          <w:i w:val="0"/>
          <w:iCs w:val="0"/>
          <w:color w:val="auto"/>
        </w:rPr>
        <w:t xml:space="preserve"> solid</w:t>
      </w:r>
      <w:r w:rsidRPr="00A17E91">
        <w:rPr>
          <w:i w:val="0"/>
          <w:iCs w:val="0"/>
          <w:color w:val="auto"/>
        </w:rPr>
        <w:t xml:space="preserve"> lines</w:t>
      </w:r>
      <w:r>
        <w:rPr>
          <w:i w:val="0"/>
          <w:iCs w:val="0"/>
          <w:color w:val="auto"/>
        </w:rPr>
        <w:t xml:space="preserve"> for males and females, respectively</w:t>
      </w:r>
      <w:r w:rsidRPr="00A17E91">
        <w:rPr>
          <w:i w:val="0"/>
          <w:iCs w:val="0"/>
          <w:color w:val="auto"/>
        </w:rPr>
        <w:t xml:space="preserve">. </w:t>
      </w:r>
      <w:r>
        <w:rPr>
          <w:i w:val="0"/>
          <w:iCs w:val="0"/>
          <w:color w:val="auto"/>
        </w:rPr>
        <w:t>The dashed vertical lines indicate the minimum body lengths associated with sperm whale sex and age classes as follows: length at birth (4 m; NB), juvenile (J; 5.5 m), sub-adult (SA; 7.6 m ), adult female (AF – 8.5 m),  adult male and mature female (AM/MF – 10 m), maximum female length (Fmax – 12 m), and mature male (MM – 13.7).</w:t>
      </w:r>
      <w:commentRangeEnd w:id="5"/>
      <w:r>
        <w:rPr>
          <w:rStyle w:val="CommentReference"/>
          <w:i w:val="0"/>
          <w:iCs w:val="0"/>
          <w:color w:val="auto"/>
        </w:rPr>
        <w:commentReference w:id="5"/>
      </w:r>
    </w:p>
    <w:p w14:paraId="3350AE30" w14:textId="77777777" w:rsidR="00B621AC" w:rsidRDefault="00B621AC" w:rsidP="00B621AC"/>
    <w:p w14:paraId="15A54B6D" w14:textId="77777777" w:rsidR="00B621AC" w:rsidRDefault="00B621AC" w:rsidP="00B621AC"/>
    <w:p w14:paraId="06D1CC74" w14:textId="77777777" w:rsidR="00B621AC" w:rsidRDefault="00B621AC" w:rsidP="00B621AC">
      <w:pPr>
        <w:keepNext/>
      </w:pPr>
      <w:r>
        <w:rPr>
          <w:noProof/>
        </w:rPr>
        <w:lastRenderedPageBreak/>
        <w:drawing>
          <wp:inline distT="0" distB="0" distL="0" distR="0" wp14:anchorId="5C380695" wp14:editId="6C615C57">
            <wp:extent cx="5943600" cy="2971800"/>
            <wp:effectExtent l="0" t="0" r="0" b="0"/>
            <wp:docPr id="1427704134" name="Picture 2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04134" name="Picture 21" descr="A diagram of a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2242" w14:textId="77777777" w:rsidR="00B621AC" w:rsidRPr="00170AE9" w:rsidRDefault="00B621AC" w:rsidP="00B621AC">
      <w:pPr>
        <w:pStyle w:val="Caption"/>
        <w:rPr>
          <w:i w:val="0"/>
          <w:iCs w:val="0"/>
          <w:color w:val="auto"/>
        </w:rPr>
      </w:pPr>
      <w:bookmarkStart w:id="7" w:name="_Ref201777558"/>
      <w:commentRangeStart w:id="8"/>
      <w:r w:rsidRPr="00170AE9">
        <w:rPr>
          <w:b/>
          <w:bCs/>
          <w:color w:val="auto"/>
        </w:rPr>
        <w:t xml:space="preserve">Figure </w:t>
      </w:r>
      <w:r w:rsidRPr="00170AE9">
        <w:rPr>
          <w:b/>
          <w:bCs/>
          <w:color w:val="auto"/>
        </w:rPr>
        <w:fldChar w:fldCharType="begin"/>
      </w:r>
      <w:r w:rsidRPr="00170AE9">
        <w:rPr>
          <w:b/>
          <w:bCs/>
          <w:color w:val="auto"/>
        </w:rPr>
        <w:instrText xml:space="preserve"> SEQ Figure \* ARABIC </w:instrText>
      </w:r>
      <w:r w:rsidRPr="00170AE9"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5</w:t>
      </w:r>
      <w:r w:rsidRPr="00170AE9">
        <w:rPr>
          <w:b/>
          <w:bCs/>
          <w:color w:val="auto"/>
        </w:rPr>
        <w:fldChar w:fldCharType="end"/>
      </w:r>
      <w:bookmarkEnd w:id="7"/>
      <w:r w:rsidRPr="00170AE9">
        <w:rPr>
          <w:b/>
          <w:bCs/>
          <w:color w:val="auto"/>
        </w:rPr>
        <w:t>.</w:t>
      </w:r>
      <w:r w:rsidRPr="00170AE9">
        <w:rPr>
          <w:color w:val="auto"/>
        </w:rPr>
        <w:t xml:space="preserve"> </w:t>
      </w:r>
      <w:r w:rsidRPr="00170AE9">
        <w:rPr>
          <w:i w:val="0"/>
          <w:iCs w:val="0"/>
          <w:color w:val="auto"/>
        </w:rPr>
        <w:t>Distribution of bootstrapped parameter estimates</w:t>
      </w:r>
      <w:r>
        <w:rPr>
          <w:i w:val="0"/>
          <w:iCs w:val="0"/>
          <w:color w:val="auto"/>
        </w:rPr>
        <w:t xml:space="preserve"> (x axis)</w:t>
      </w:r>
      <w:r w:rsidRPr="00170AE9">
        <w:rPr>
          <w:i w:val="0"/>
          <w:iCs w:val="0"/>
          <w:color w:val="auto"/>
        </w:rPr>
        <w:t xml:space="preserve"> for </w:t>
      </w:r>
      <w:r>
        <w:rPr>
          <w:color w:val="auto"/>
        </w:rPr>
        <w:t>NR</w:t>
      </w:r>
      <w:r>
        <w:rPr>
          <w:color w:val="auto"/>
          <w:vertAlign w:val="subscript"/>
        </w:rPr>
        <w:t>dorsal</w:t>
      </w:r>
      <w:r w:rsidRPr="00170AE9">
        <w:rPr>
          <w:color w:val="auto"/>
        </w:rPr>
        <w:t xml:space="preserve"> </w:t>
      </w:r>
      <w:r w:rsidRPr="00170AE9">
        <w:rPr>
          <w:i w:val="0"/>
          <w:iCs w:val="0"/>
          <w:color w:val="auto"/>
        </w:rPr>
        <w:t xml:space="preserve">and </w:t>
      </w:r>
      <w:r>
        <w:rPr>
          <w:color w:val="auto"/>
        </w:rPr>
        <w:t>N</w:t>
      </w:r>
      <w:r w:rsidRPr="00170AE9">
        <w:rPr>
          <w:color w:val="auto"/>
        </w:rPr>
        <w:t>R</w:t>
      </w:r>
      <w:r>
        <w:rPr>
          <w:color w:val="auto"/>
          <w:vertAlign w:val="subscript"/>
        </w:rPr>
        <w:t>flipper</w:t>
      </w:r>
      <w:r w:rsidRPr="00170AE9">
        <w:rPr>
          <w:color w:val="auto"/>
        </w:rPr>
        <w:t xml:space="preserve"> </w:t>
      </w:r>
      <w:r w:rsidRPr="00170AE9">
        <w:rPr>
          <w:i w:val="0"/>
          <w:iCs w:val="0"/>
          <w:color w:val="auto"/>
        </w:rPr>
        <w:t xml:space="preserve">models. </w:t>
      </w:r>
      <w:commentRangeEnd w:id="8"/>
      <w:r>
        <w:rPr>
          <w:rStyle w:val="CommentReference"/>
          <w:i w:val="0"/>
          <w:iCs w:val="0"/>
          <w:color w:val="auto"/>
        </w:rPr>
        <w:commentReference w:id="8"/>
      </w:r>
    </w:p>
    <w:p w14:paraId="443D82DA" w14:textId="77777777" w:rsidR="00B621AC" w:rsidRDefault="00B621AC" w:rsidP="00B621AC"/>
    <w:p w14:paraId="1BE5CA91" w14:textId="77777777" w:rsidR="00B621AC" w:rsidRPr="005106D6" w:rsidRDefault="00B621AC" w:rsidP="00B621AC">
      <w:r>
        <w:t xml:space="preserve">Models based on </w:t>
      </w:r>
      <w:r>
        <w:rPr>
          <w:i/>
          <w:iCs/>
        </w:rPr>
        <w:t>NR</w:t>
      </w:r>
      <w:r>
        <w:rPr>
          <w:i/>
          <w:iCs/>
          <w:vertAlign w:val="subscript"/>
        </w:rPr>
        <w:t>flipper</w:t>
      </w:r>
      <w:r>
        <w:t xml:space="preserve"> metrics resulted in reasonable individual estimates of the probability of being female than </w:t>
      </w:r>
      <w:r>
        <w:rPr>
          <w:i/>
          <w:iCs/>
        </w:rPr>
        <w:t>NR</w:t>
      </w:r>
      <w:r>
        <w:rPr>
          <w:i/>
          <w:iCs/>
          <w:vertAlign w:val="subscript"/>
        </w:rPr>
        <w:t>dorsal</w:t>
      </w:r>
      <w:r>
        <w:t xml:space="preserve"> based models. </w:t>
      </w:r>
      <w:commentRangeStart w:id="9"/>
      <w:r>
        <w:t xml:space="preserve">For example, </w:t>
      </w:r>
      <w:commentRangeStart w:id="10"/>
      <w:r>
        <w:t xml:space="preserve">individual ID74 </w:t>
      </w:r>
      <w:commentRangeEnd w:id="10"/>
      <w:r>
        <w:rPr>
          <w:rStyle w:val="CommentReference"/>
        </w:rPr>
        <w:commentReference w:id="10"/>
      </w:r>
      <w:r>
        <w:t xml:space="preserve">(mean </w:t>
      </w:r>
      <w:r>
        <w:rPr>
          <w:i/>
          <w:iCs/>
        </w:rPr>
        <w:t xml:space="preserve">TL = </w:t>
      </w:r>
      <w:r>
        <w:t xml:space="preserve">10.78 m, 95% </w:t>
      </w:r>
      <w:r>
        <w:rPr>
          <w:i/>
          <w:iCs/>
        </w:rPr>
        <w:t xml:space="preserve">CI = </w:t>
      </w:r>
      <w:r>
        <w:t xml:space="preserve">10.63 – 11.06 m), which was observed receiving peduncle dives, was classified with high confidence as female by </w:t>
      </w:r>
      <w:r>
        <w:rPr>
          <w:i/>
          <w:iCs/>
        </w:rPr>
        <w:t>NR</w:t>
      </w:r>
      <w:r>
        <w:rPr>
          <w:i/>
          <w:iCs/>
          <w:vertAlign w:val="subscript"/>
        </w:rPr>
        <w:t>flipper</w:t>
      </w:r>
      <w:r>
        <w:t xml:space="preserve"> models (mean </w:t>
      </w:r>
      <w:r>
        <w:rPr>
          <w:i/>
          <w:iCs/>
        </w:rPr>
        <w:t>P(f)</w:t>
      </w:r>
      <w:r>
        <w:t xml:space="preserve"> = 0.99, 95% </w:t>
      </w:r>
      <w:r>
        <w:rPr>
          <w:i/>
          <w:iCs/>
        </w:rPr>
        <w:t xml:space="preserve">CI = </w:t>
      </w:r>
      <w:r>
        <w:t>0.99 – 1.00), yet received low and uncertain estimates</w:t>
      </w:r>
      <w:r>
        <w:rPr>
          <w:i/>
          <w:iCs/>
        </w:rPr>
        <w:t xml:space="preserve"> </w:t>
      </w:r>
      <w:r>
        <w:t xml:space="preserve">from the  </w:t>
      </w:r>
      <w:r>
        <w:rPr>
          <w:i/>
          <w:iCs/>
        </w:rPr>
        <w:t>NR</w:t>
      </w:r>
      <w:r>
        <w:rPr>
          <w:i/>
          <w:iCs/>
          <w:vertAlign w:val="subscript"/>
        </w:rPr>
        <w:t>dorsal</w:t>
      </w:r>
      <w:r>
        <w:t xml:space="preserve"> model</w:t>
      </w:r>
      <w:r>
        <w:rPr>
          <w:i/>
          <w:iCs/>
        </w:rPr>
        <w:t xml:space="preserve"> </w:t>
      </w:r>
      <w:r>
        <w:t xml:space="preserve">(mean = 0.12, 95% </w:t>
      </w:r>
      <w:r w:rsidRPr="00912737">
        <w:rPr>
          <w:i/>
          <w:iCs/>
        </w:rPr>
        <w:t>CI</w:t>
      </w:r>
      <w:r>
        <w:t xml:space="preserve"> = 0 – 0.44). </w:t>
      </w:r>
      <w:commentRangeEnd w:id="9"/>
      <w:r>
        <w:rPr>
          <w:rStyle w:val="CommentReference"/>
        </w:rPr>
        <w:commentReference w:id="9"/>
      </w:r>
      <w:r>
        <w:t xml:space="preserve">Similarly, individual ID04, a large male (mean </w:t>
      </w:r>
      <w:r>
        <w:rPr>
          <w:i/>
          <w:iCs/>
        </w:rPr>
        <w:t xml:space="preserve">TL = </w:t>
      </w:r>
      <w:r>
        <w:t xml:space="preserve">15.2 m, 95% </w:t>
      </w:r>
      <w:r>
        <w:rPr>
          <w:i/>
          <w:iCs/>
        </w:rPr>
        <w:t xml:space="preserve">CI = </w:t>
      </w:r>
      <w:r>
        <w:t>14.9 – 15.5 m), was confidently assigned a near-zero probability of being female</w:t>
      </w:r>
      <w:commentRangeStart w:id="11"/>
      <w:r>
        <w:t xml:space="preserve"> </w:t>
      </w:r>
      <w:commentRangeEnd w:id="11"/>
      <w:r>
        <w:rPr>
          <w:rStyle w:val="CommentReference"/>
        </w:rPr>
        <w:commentReference w:id="11"/>
      </w:r>
      <w:r>
        <w:t xml:space="preserve">by the </w:t>
      </w:r>
      <w:r>
        <w:rPr>
          <w:i/>
          <w:iCs/>
        </w:rPr>
        <w:t>NR</w:t>
      </w:r>
      <w:r>
        <w:rPr>
          <w:i/>
          <w:iCs/>
          <w:vertAlign w:val="subscript"/>
        </w:rPr>
        <w:t>flipper</w:t>
      </w:r>
      <w:r>
        <w:t xml:space="preserve"> model (mean &lt; 0.001, 95% </w:t>
      </w:r>
      <w:r>
        <w:rPr>
          <w:i/>
          <w:iCs/>
        </w:rPr>
        <w:t xml:space="preserve">CI width = </w:t>
      </w:r>
      <w:r>
        <w:t xml:space="preserve">0), but received an uncertain and intermediate probability estimate based on the </w:t>
      </w:r>
      <w:r>
        <w:rPr>
          <w:i/>
          <w:iCs/>
        </w:rPr>
        <w:t>NR</w:t>
      </w:r>
      <w:r>
        <w:rPr>
          <w:i/>
          <w:iCs/>
          <w:vertAlign w:val="subscript"/>
        </w:rPr>
        <w:t>dorsal</w:t>
      </w:r>
      <w:r>
        <w:t xml:space="preserve"> models (mean = 0.50, 95%</w:t>
      </w:r>
      <w:r>
        <w:rPr>
          <w:i/>
          <w:iCs/>
        </w:rPr>
        <w:t xml:space="preserve"> CI</w:t>
      </w:r>
      <w:r>
        <w:t xml:space="preserve"> = &lt;0.001 – 0.97).</w:t>
      </w:r>
      <w:r>
        <w:rPr>
          <w:i/>
          <w:iCs/>
        </w:rPr>
        <w:t xml:space="preserve"> </w:t>
      </w:r>
      <w:commentRangeStart w:id="12"/>
      <w:commentRangeStart w:id="13"/>
      <w:r>
        <w:t xml:space="preserve">Given that </w:t>
      </w:r>
      <w:r>
        <w:rPr>
          <w:i/>
          <w:iCs/>
        </w:rPr>
        <w:t>NR</w:t>
      </w:r>
      <w:r>
        <w:rPr>
          <w:i/>
          <w:iCs/>
          <w:vertAlign w:val="subscript"/>
        </w:rPr>
        <w:t>flipper</w:t>
      </w:r>
      <w:r>
        <w:t xml:space="preserve"> models resulted in more certainty and consistency with context, behaviour, and whaling data, we explore the peduncle dive patterns in the following section considering the predictions made by </w:t>
      </w:r>
      <w:r>
        <w:rPr>
          <w:i/>
          <w:iCs/>
        </w:rPr>
        <w:t>NR</w:t>
      </w:r>
      <w:r>
        <w:rPr>
          <w:i/>
          <w:iCs/>
          <w:vertAlign w:val="subscript"/>
        </w:rPr>
        <w:t>flipper</w:t>
      </w:r>
      <w:r>
        <w:t xml:space="preserve"> models. </w:t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</w:p>
    <w:p w14:paraId="769060FD" w14:textId="77777777" w:rsidR="00B621AC" w:rsidRDefault="00B621AC" w:rsidP="00B621AC"/>
    <w:p w14:paraId="23DBC055" w14:textId="77777777" w:rsidR="00B621AC" w:rsidRDefault="00B621AC" w:rsidP="00B621AC"/>
    <w:p w14:paraId="7782D3D2" w14:textId="77777777" w:rsidR="00B621AC" w:rsidRDefault="00B621AC" w:rsidP="00B621AC">
      <w:r>
        <w:rPr>
          <w:noProof/>
        </w:rPr>
        <w:lastRenderedPageBreak/>
        <w:drawing>
          <wp:inline distT="0" distB="0" distL="0" distR="0" wp14:anchorId="6D9E6A9F" wp14:editId="716D3AB0">
            <wp:extent cx="5943600" cy="2641600"/>
            <wp:effectExtent l="0" t="0" r="0" b="0"/>
            <wp:docPr id="1853732391" name="Picture 25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32391" name="Picture 25" descr="A diagram of a graph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2662" w14:textId="77777777" w:rsidR="00B621AC" w:rsidRDefault="00B621AC" w:rsidP="00B621AC">
      <w:pPr>
        <w:pStyle w:val="Caption"/>
        <w:rPr>
          <w:i w:val="0"/>
          <w:iCs w:val="0"/>
          <w:color w:val="auto"/>
        </w:rPr>
      </w:pPr>
      <w:bookmarkStart w:id="14" w:name="_Ref201777743"/>
      <w:commentRangeStart w:id="15"/>
      <w:r w:rsidRPr="009A0C70">
        <w:rPr>
          <w:b/>
          <w:bCs/>
          <w:color w:val="auto"/>
        </w:rPr>
        <w:t xml:space="preserve">Figure </w:t>
      </w:r>
      <w:r w:rsidRPr="009A0C70">
        <w:rPr>
          <w:b/>
          <w:bCs/>
          <w:color w:val="auto"/>
        </w:rPr>
        <w:fldChar w:fldCharType="begin"/>
      </w:r>
      <w:r w:rsidRPr="009A0C70">
        <w:rPr>
          <w:b/>
          <w:bCs/>
          <w:color w:val="auto"/>
        </w:rPr>
        <w:instrText xml:space="preserve"> SEQ Figure \* ARABIC </w:instrText>
      </w:r>
      <w:r w:rsidRPr="009A0C70">
        <w:rPr>
          <w:b/>
          <w:bCs/>
          <w:color w:val="auto"/>
        </w:rPr>
        <w:fldChar w:fldCharType="separate"/>
      </w:r>
      <w:r>
        <w:rPr>
          <w:b/>
          <w:bCs/>
          <w:noProof/>
          <w:color w:val="auto"/>
        </w:rPr>
        <w:t>6</w:t>
      </w:r>
      <w:r w:rsidRPr="009A0C70">
        <w:rPr>
          <w:b/>
          <w:bCs/>
          <w:noProof/>
          <w:color w:val="auto"/>
        </w:rPr>
        <w:fldChar w:fldCharType="end"/>
      </w:r>
      <w:bookmarkEnd w:id="14"/>
      <w:r w:rsidRPr="009A0C70">
        <w:rPr>
          <w:b/>
          <w:bCs/>
          <w:color w:val="auto"/>
        </w:rPr>
        <w:t>.</w:t>
      </w:r>
      <w:r w:rsidRPr="009A0C70">
        <w:rPr>
          <w:color w:val="auto"/>
        </w:rPr>
        <w:t xml:space="preserve"> </w:t>
      </w:r>
      <w:r w:rsidRPr="009A0C70">
        <w:rPr>
          <w:i w:val="0"/>
          <w:iCs w:val="0"/>
          <w:color w:val="auto"/>
        </w:rPr>
        <w:t xml:space="preserve">Bootstrapped mean Length (m) and nose-to-body ratio </w:t>
      </w:r>
      <w:r>
        <w:rPr>
          <w:i w:val="0"/>
          <w:iCs w:val="0"/>
          <w:color w:val="auto"/>
        </w:rPr>
        <w:t>(</w:t>
      </w:r>
      <w:r>
        <w:rPr>
          <w:color w:val="auto"/>
        </w:rPr>
        <w:t>N</w:t>
      </w:r>
      <w:r w:rsidRPr="009A0C70">
        <w:rPr>
          <w:color w:val="auto"/>
        </w:rPr>
        <w:t>R</w:t>
      </w:r>
      <w:r>
        <w:rPr>
          <w:i w:val="0"/>
          <w:iCs w:val="0"/>
          <w:color w:val="auto"/>
        </w:rPr>
        <w:t>)</w:t>
      </w:r>
      <w:r>
        <w:rPr>
          <w:color w:val="auto"/>
        </w:rPr>
        <w:t xml:space="preserve"> </w:t>
      </w:r>
      <w:r w:rsidRPr="00F63EC0">
        <w:rPr>
          <w:i w:val="0"/>
          <w:iCs w:val="0"/>
          <w:color w:val="auto"/>
        </w:rPr>
        <w:t>for</w:t>
      </w:r>
      <w:r w:rsidRPr="009A0C70">
        <w:rPr>
          <w:i w:val="0"/>
          <w:iCs w:val="0"/>
          <w:color w:val="auto"/>
        </w:rPr>
        <w:t xml:space="preserve"> individual sperm whales based on (</w:t>
      </w:r>
      <w:r>
        <w:rPr>
          <w:i w:val="0"/>
          <w:iCs w:val="0"/>
          <w:color w:val="auto"/>
        </w:rPr>
        <w:t>a</w:t>
      </w:r>
      <w:r w:rsidRPr="009A0C70">
        <w:rPr>
          <w:i w:val="0"/>
          <w:iCs w:val="0"/>
          <w:color w:val="auto"/>
        </w:rPr>
        <w:t xml:space="preserve">) </w:t>
      </w:r>
      <w:r>
        <w:rPr>
          <w:i w:val="0"/>
          <w:iCs w:val="0"/>
          <w:color w:val="auto"/>
        </w:rPr>
        <w:t>snout</w:t>
      </w:r>
      <w:r w:rsidRPr="009A0C70">
        <w:rPr>
          <w:i w:val="0"/>
          <w:iCs w:val="0"/>
          <w:color w:val="auto"/>
        </w:rPr>
        <w:t xml:space="preserve"> – dorsal fin </w:t>
      </w:r>
      <w:r>
        <w:rPr>
          <w:i w:val="0"/>
          <w:iCs w:val="0"/>
          <w:color w:val="auto"/>
        </w:rPr>
        <w:t>distance (</w:t>
      </w:r>
      <w:r>
        <w:rPr>
          <w:color w:val="auto"/>
        </w:rPr>
        <w:t>NR</w:t>
      </w:r>
      <w:r>
        <w:rPr>
          <w:color w:val="auto"/>
          <w:vertAlign w:val="subscript"/>
        </w:rPr>
        <w:t>dorsal</w:t>
      </w:r>
      <w:r>
        <w:rPr>
          <w:i w:val="0"/>
          <w:iCs w:val="0"/>
          <w:color w:val="auto"/>
        </w:rPr>
        <w:t>) and</w:t>
      </w:r>
      <w:r w:rsidRPr="009A0C70">
        <w:rPr>
          <w:i w:val="0"/>
          <w:iCs w:val="0"/>
          <w:color w:val="auto"/>
        </w:rPr>
        <w:t xml:space="preserve"> (</w:t>
      </w:r>
      <w:r>
        <w:rPr>
          <w:i w:val="0"/>
          <w:iCs w:val="0"/>
          <w:color w:val="auto"/>
        </w:rPr>
        <w:t>b</w:t>
      </w:r>
      <w:r w:rsidRPr="009A0C70">
        <w:rPr>
          <w:i w:val="0"/>
          <w:iCs w:val="0"/>
          <w:color w:val="auto"/>
        </w:rPr>
        <w:t xml:space="preserve">) </w:t>
      </w:r>
      <w:r>
        <w:rPr>
          <w:i w:val="0"/>
          <w:iCs w:val="0"/>
          <w:color w:val="auto"/>
        </w:rPr>
        <w:t>snout – flipper distance (</w:t>
      </w:r>
      <w:r>
        <w:rPr>
          <w:color w:val="auto"/>
        </w:rPr>
        <w:t>NR</w:t>
      </w:r>
      <w:r>
        <w:rPr>
          <w:color w:val="auto"/>
          <w:vertAlign w:val="subscript"/>
        </w:rPr>
        <w:t>flipper</w:t>
      </w:r>
      <w:r>
        <w:rPr>
          <w:i w:val="0"/>
          <w:iCs w:val="0"/>
          <w:color w:val="auto"/>
        </w:rPr>
        <w:t>)</w:t>
      </w:r>
      <w:r w:rsidRPr="009A0C70">
        <w:rPr>
          <w:i w:val="0"/>
          <w:iCs w:val="0"/>
          <w:color w:val="auto"/>
        </w:rPr>
        <w:t xml:space="preserve">. </w:t>
      </w:r>
      <w:r>
        <w:rPr>
          <w:i w:val="0"/>
          <w:iCs w:val="0"/>
          <w:color w:val="auto"/>
        </w:rPr>
        <w:t xml:space="preserve">The solid green line and dashed violet line show the bootstrapped mean </w:t>
      </w:r>
      <w:proofErr w:type="spellStart"/>
      <w:r>
        <w:rPr>
          <w:i w:val="0"/>
          <w:iCs w:val="0"/>
          <w:color w:val="auto"/>
        </w:rPr>
        <w:t>modele</w:t>
      </w:r>
      <w:proofErr w:type="spellEnd"/>
      <w:r>
        <w:rPr>
          <w:i w:val="0"/>
          <w:iCs w:val="0"/>
          <w:color w:val="auto"/>
        </w:rPr>
        <w:t xml:space="preserve"> </w:t>
      </w:r>
      <w:r>
        <w:rPr>
          <w:color w:val="auto"/>
        </w:rPr>
        <w:t>NR</w:t>
      </w:r>
      <w:r>
        <w:rPr>
          <w:i w:val="0"/>
          <w:iCs w:val="0"/>
          <w:color w:val="auto"/>
        </w:rPr>
        <w:t xml:space="preserve"> for females and males, respectively. </w:t>
      </w:r>
      <w:r w:rsidRPr="009A0C70">
        <w:rPr>
          <w:i w:val="0"/>
          <w:iCs w:val="0"/>
          <w:color w:val="auto"/>
        </w:rPr>
        <w:t xml:space="preserve">Point colours </w:t>
      </w:r>
      <w:r>
        <w:rPr>
          <w:i w:val="0"/>
          <w:iCs w:val="0"/>
          <w:color w:val="auto"/>
        </w:rPr>
        <w:t>show</w:t>
      </w:r>
      <w:r w:rsidRPr="009A0C70">
        <w:rPr>
          <w:i w:val="0"/>
          <w:iCs w:val="0"/>
          <w:color w:val="auto"/>
        </w:rPr>
        <w:t xml:space="preserve"> the mean posterior probability of individuals being female</w:t>
      </w:r>
      <w:r>
        <w:rPr>
          <w:i w:val="0"/>
          <w:iCs w:val="0"/>
          <w:color w:val="auto"/>
        </w:rPr>
        <w:t xml:space="preserve"> (</w:t>
      </w:r>
      <w:r w:rsidRPr="009A0C70">
        <w:rPr>
          <w:i w:val="0"/>
          <w:iCs w:val="0"/>
          <w:color w:val="auto"/>
        </w:rPr>
        <w:t>P(</w:t>
      </w:r>
      <w:r>
        <w:rPr>
          <w:i w:val="0"/>
          <w:iCs w:val="0"/>
          <w:color w:val="auto"/>
        </w:rPr>
        <w:t>f</w:t>
      </w:r>
      <w:r w:rsidRPr="009A0C70">
        <w:rPr>
          <w:i w:val="0"/>
          <w:iCs w:val="0"/>
          <w:color w:val="auto"/>
        </w:rPr>
        <w:t>)</w:t>
      </w:r>
      <w:r>
        <w:rPr>
          <w:i w:val="0"/>
          <w:iCs w:val="0"/>
          <w:color w:val="auto"/>
        </w:rPr>
        <w:t>)</w:t>
      </w:r>
      <w:r w:rsidRPr="009A0C70">
        <w:rPr>
          <w:i w:val="0"/>
          <w:iCs w:val="0"/>
          <w:color w:val="auto"/>
        </w:rPr>
        <w:t xml:space="preserve">, and point sizes indicate the </w:t>
      </w:r>
      <w:r>
        <w:rPr>
          <w:i w:val="0"/>
          <w:iCs w:val="0"/>
          <w:color w:val="auto"/>
        </w:rPr>
        <w:t xml:space="preserve">bootstrapped </w:t>
      </w:r>
      <w:r w:rsidRPr="009A0C70">
        <w:rPr>
          <w:i w:val="0"/>
          <w:iCs w:val="0"/>
          <w:color w:val="auto"/>
        </w:rPr>
        <w:t>95</w:t>
      </w:r>
      <w:r w:rsidRPr="009A0C70">
        <w:rPr>
          <w:i w:val="0"/>
          <w:iCs w:val="0"/>
          <w:color w:val="auto"/>
          <w:vertAlign w:val="superscript"/>
        </w:rPr>
        <w:t>th</w:t>
      </w:r>
      <w:r w:rsidRPr="009A0C70">
        <w:rPr>
          <w:i w:val="0"/>
          <w:iCs w:val="0"/>
          <w:color w:val="auto"/>
        </w:rPr>
        <w:t xml:space="preserve"> percentile confidence interval </w:t>
      </w:r>
      <w:r>
        <w:rPr>
          <w:i w:val="0"/>
          <w:iCs w:val="0"/>
          <w:color w:val="auto"/>
        </w:rPr>
        <w:t xml:space="preserve">(95% CI) </w:t>
      </w:r>
      <w:r w:rsidRPr="009A0C70">
        <w:rPr>
          <w:i w:val="0"/>
          <w:iCs w:val="0"/>
          <w:color w:val="auto"/>
        </w:rPr>
        <w:t xml:space="preserve">width for </w:t>
      </w:r>
      <w:r>
        <w:rPr>
          <w:i w:val="0"/>
          <w:iCs w:val="0"/>
          <w:color w:val="auto"/>
        </w:rPr>
        <w:t>P</w:t>
      </w:r>
      <w:r w:rsidRPr="009A0C70">
        <w:rPr>
          <w:i w:val="0"/>
          <w:iCs w:val="0"/>
          <w:color w:val="auto"/>
        </w:rPr>
        <w:t>(</w:t>
      </w:r>
      <w:r>
        <w:rPr>
          <w:i w:val="0"/>
          <w:iCs w:val="0"/>
          <w:color w:val="auto"/>
        </w:rPr>
        <w:t>f</w:t>
      </w:r>
      <w:r w:rsidRPr="009A0C70">
        <w:rPr>
          <w:i w:val="0"/>
          <w:iCs w:val="0"/>
          <w:color w:val="auto"/>
        </w:rPr>
        <w:t xml:space="preserve">). Point shape denotes whether individuals were observed </w:t>
      </w:r>
      <w:r>
        <w:rPr>
          <w:i w:val="0"/>
          <w:iCs w:val="0"/>
          <w:color w:val="auto"/>
        </w:rPr>
        <w:t>involved in peduncle dives (triangles = receiving, squares = doing, circles = none).</w:t>
      </w:r>
      <w:r w:rsidRPr="009A0C70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 xml:space="preserve">Individuals that were observed receiving peduncle dives and mature males (&gt; 13.7 m) are labelled for reference. </w:t>
      </w:r>
      <w:r w:rsidRPr="009A0C70">
        <w:rPr>
          <w:i w:val="0"/>
          <w:iCs w:val="0"/>
          <w:color w:val="auto"/>
        </w:rPr>
        <w:t xml:space="preserve">Dashed vertical lines indicate the minimum body lengths associated with sperm whale sex and age classes </w:t>
      </w:r>
      <w:r>
        <w:rPr>
          <w:i w:val="0"/>
          <w:iCs w:val="0"/>
          <w:color w:val="auto"/>
        </w:rPr>
        <w:t>based on Best 1979, Best et al. 1984, and Mendes et al. 2007 as follows</w:t>
      </w:r>
      <w:r w:rsidRPr="009A0C70">
        <w:rPr>
          <w:i w:val="0"/>
          <w:iCs w:val="0"/>
          <w:color w:val="auto"/>
        </w:rPr>
        <w:t xml:space="preserve">: </w:t>
      </w:r>
      <w:r>
        <w:rPr>
          <w:i w:val="0"/>
          <w:iCs w:val="0"/>
          <w:color w:val="auto"/>
        </w:rPr>
        <w:t>calf</w:t>
      </w:r>
      <w:r w:rsidRPr="009A0C70">
        <w:rPr>
          <w:i w:val="0"/>
          <w:iCs w:val="0"/>
          <w:color w:val="auto"/>
        </w:rPr>
        <w:t xml:space="preserve"> (4 m; NB), juvenile (J; 5.5 m), sub-adult (SA; 7.6 m ), adult female (AF – 8.5 m),  adult male and mature female (AM/MF – 10 m), maximum female length (Fmax – 12 m), and mature male (MM – 13.7</w:t>
      </w:r>
      <w:r>
        <w:rPr>
          <w:i w:val="0"/>
          <w:iCs w:val="0"/>
          <w:color w:val="auto"/>
        </w:rPr>
        <w:t>).</w:t>
      </w:r>
      <w:commentRangeEnd w:id="15"/>
      <w:r>
        <w:rPr>
          <w:rStyle w:val="CommentReference"/>
          <w:i w:val="0"/>
          <w:iCs w:val="0"/>
          <w:color w:val="auto"/>
        </w:rPr>
        <w:commentReference w:id="15"/>
      </w:r>
    </w:p>
    <w:p w14:paraId="1B8F15C0" w14:textId="77777777" w:rsidR="00AB2C31" w:rsidRDefault="00AB2C31" w:rsidP="00AB2C31">
      <w:r>
        <w:t xml:space="preserve">Conversely, in models fit with </w:t>
      </w:r>
      <w:r>
        <w:rPr>
          <w:i/>
          <w:iCs/>
        </w:rPr>
        <w:t>NR</w:t>
      </w:r>
      <w:r>
        <w:rPr>
          <w:i/>
          <w:iCs/>
          <w:vertAlign w:val="subscript"/>
        </w:rPr>
        <w:t>dorsal</w:t>
      </w:r>
      <w:r>
        <w:t xml:space="preserve">, only two individuals that could be assumed to be mature males based on their sizes (ID01 &amp; ID81) were consistently assigned low probabilities of being females. No individuals were consistently assigned a high probability of being female consistently based on </w:t>
      </w:r>
      <w:r>
        <w:rPr>
          <w:i/>
          <w:iCs/>
        </w:rPr>
        <w:t>NR</w:t>
      </w:r>
      <w:r>
        <w:rPr>
          <w:i/>
          <w:iCs/>
          <w:vertAlign w:val="subscript"/>
        </w:rPr>
        <w:t>dorsal</w:t>
      </w:r>
      <w:r>
        <w:t xml:space="preserve"> models. </w:t>
      </w:r>
    </w:p>
    <w:p w14:paraId="5E8121E2" w14:textId="77777777" w:rsidR="00B621AC" w:rsidRPr="00B621AC" w:rsidRDefault="00B621AC" w:rsidP="00B621AC"/>
    <w:p w14:paraId="30249653" w14:textId="77777777" w:rsidR="00CB1E24" w:rsidRDefault="00CB1E24"/>
    <w:sectPr w:rsidR="00CB1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alaena Institute whitehead" w:date="2025-06-27T12:45:00Z" w:initials="Bw">
    <w:p w14:paraId="305BAAB7" w14:textId="77777777" w:rsidR="00CB1E24" w:rsidRDefault="00CB1E24" w:rsidP="00CB1E24">
      <w:pPr>
        <w:pStyle w:val="CommentText"/>
      </w:pPr>
      <w:r>
        <w:rPr>
          <w:rStyle w:val="CommentReference"/>
        </w:rPr>
        <w:annotationRef/>
      </w:r>
      <w:r>
        <w:t>For context, these parameters are the ‘things’ that determine the shape of curves that relate sperm whale length to nose-to-body ratio for females (fr and maxf) and males (mr and maxm)</w:t>
      </w:r>
    </w:p>
  </w:comment>
  <w:comment w:id="2" w:author="Laura Feyrer" w:date="2025-07-01T10:33:00Z" w:initials="LF">
    <w:p w14:paraId="3681133C" w14:textId="77777777" w:rsidR="00CB1E24" w:rsidRDefault="00CB1E24" w:rsidP="00CB1E24">
      <w:r>
        <w:rPr>
          <w:rStyle w:val="CommentReference"/>
        </w:rPr>
        <w:annotationRef/>
      </w:r>
      <w:r>
        <w:rPr>
          <w:sz w:val="20"/>
          <w:szCs w:val="20"/>
        </w:rPr>
        <w:t>you use the terms "nose", "snout" and R (rostrum?).. do these mean the same thing? Maybe chose one and stick with it to keep it clear for reader what the params are as there are a lot!!</w:t>
      </w:r>
    </w:p>
  </w:comment>
  <w:comment w:id="3" w:author="Hal Whitehead" w:date="2025-07-09T10:19:00Z" w:initials="HW">
    <w:p w14:paraId="10CBBECA" w14:textId="77777777" w:rsidR="00CB1E24" w:rsidRDefault="00CB1E24" w:rsidP="00CB1E24">
      <w:pPr>
        <w:pStyle w:val="CommentText"/>
      </w:pPr>
      <w:r>
        <w:rPr>
          <w:rStyle w:val="CommentReference"/>
        </w:rPr>
        <w:annotationRef/>
      </w:r>
      <w:r>
        <w:t>There does not seem to be one, as the relationship is linear for nose-flipper.  See addition to text.</w:t>
      </w:r>
    </w:p>
  </w:comment>
  <w:comment w:id="6" w:author="Laura Feyrer" w:date="2025-07-01T10:36:00Z" w:initials="LF">
    <w:p w14:paraId="0CE61ED4" w14:textId="77777777" w:rsidR="00CB1E24" w:rsidRDefault="00CB1E24" w:rsidP="00CB1E24">
      <w:r>
        <w:rPr>
          <w:rStyle w:val="CommentReference"/>
        </w:rPr>
        <w:annotationRef/>
      </w:r>
      <w:r>
        <w:rPr>
          <w:sz w:val="20"/>
          <w:szCs w:val="20"/>
        </w:rPr>
        <w:t>because this has a statistical meaning (r value) but also a param in your study I am unsure what is being discussed here.. given N might also be a bit muddled, maybe change the param to S for snout? :)</w:t>
      </w:r>
    </w:p>
  </w:comment>
  <w:comment w:id="5" w:author="Hal Whitehead" w:date="2025-07-09T10:30:00Z" w:initials="HW">
    <w:p w14:paraId="73396442" w14:textId="77777777" w:rsidR="00CB1E24" w:rsidRDefault="00CB1E24" w:rsidP="00CB1E24">
      <w:pPr>
        <w:pStyle w:val="CommentText"/>
      </w:pPr>
      <w:r>
        <w:rPr>
          <w:rStyle w:val="CommentReference"/>
        </w:rPr>
        <w:annotationRef/>
      </w:r>
      <w:r>
        <w:t>I would omit the parts of the male curve at &lt;6m, as these are not used and the data for smaller animals are not used in estimating the curve.</w:t>
      </w:r>
    </w:p>
  </w:comment>
  <w:comment w:id="8" w:author="Laura Feyrer" w:date="2025-07-01T10:37:00Z" w:initials="LF">
    <w:p w14:paraId="6E206A1E" w14:textId="77777777" w:rsidR="00B621AC" w:rsidRDefault="00B621AC" w:rsidP="00B621AC">
      <w:r>
        <w:rPr>
          <w:rStyle w:val="CommentReference"/>
        </w:rPr>
        <w:annotationRef/>
      </w:r>
      <w:r>
        <w:rPr>
          <w:sz w:val="20"/>
          <w:szCs w:val="20"/>
        </w:rPr>
        <w:t>define x axis in caption?</w:t>
      </w:r>
    </w:p>
  </w:comment>
  <w:comment w:id="10" w:author="Laura Feyrer" w:date="2025-07-01T10:41:00Z" w:initials="LF">
    <w:p w14:paraId="5998CB81" w14:textId="77777777" w:rsidR="00B621AC" w:rsidRDefault="00B621AC" w:rsidP="00B621AC">
      <w:r>
        <w:rPr>
          <w:rStyle w:val="CommentReference"/>
        </w:rPr>
        <w:annotationRef/>
      </w:r>
      <w:r>
        <w:rPr>
          <w:sz w:val="20"/>
          <w:szCs w:val="20"/>
        </w:rPr>
        <w:t>suggest making clear this is an ID as the # gets a bit lost next to the (mean...) and I thought it was an N value... something like "ID74" or individual-74</w:t>
      </w:r>
    </w:p>
  </w:comment>
  <w:comment w:id="9" w:author="Laura Feyrer" w:date="2025-07-01T10:46:00Z" w:initials="LF">
    <w:p w14:paraId="55C401DB" w14:textId="77777777" w:rsidR="00B621AC" w:rsidRDefault="00B621AC" w:rsidP="00B621AC">
      <w:r>
        <w:rPr>
          <w:rStyle w:val="CommentReference"/>
        </w:rPr>
        <w:annotationRef/>
      </w:r>
      <w:r>
        <w:rPr>
          <w:sz w:val="20"/>
          <w:szCs w:val="20"/>
        </w:rPr>
        <w:t>tried a revision to make contrasting statement easier to follow</w:t>
      </w:r>
    </w:p>
  </w:comment>
  <w:comment w:id="11" w:author="Laura Feyrer" w:date="2025-07-01T10:48:00Z" w:initials="LF">
    <w:p w14:paraId="5B882146" w14:textId="77777777" w:rsidR="00B621AC" w:rsidRDefault="00B621AC" w:rsidP="00B621AC">
      <w:r>
        <w:rPr>
          <w:rStyle w:val="CommentReference"/>
        </w:rPr>
        <w:annotationRef/>
      </w:r>
      <w:r>
        <w:rPr>
          <w:sz w:val="20"/>
          <w:szCs w:val="20"/>
        </w:rPr>
        <w:t>might be easier to read to spell out probability of being female, but whatever you think!</w:t>
      </w:r>
    </w:p>
  </w:comment>
  <w:comment w:id="12" w:author="Hal Whitehead" w:date="2025-07-09T10:37:00Z" w:initials="HW">
    <w:p w14:paraId="107157CB" w14:textId="77777777" w:rsidR="00B621AC" w:rsidRDefault="00B621AC" w:rsidP="00B621AC">
      <w:pPr>
        <w:pStyle w:val="CommentText"/>
      </w:pPr>
      <w:r>
        <w:rPr>
          <w:rStyle w:val="CommentReference"/>
        </w:rPr>
        <w:annotationRef/>
      </w:r>
      <w:r>
        <w:t>You could consider putting the snout-dorsal methods and results in Supplementary to save space.</w:t>
      </w:r>
    </w:p>
  </w:comment>
  <w:comment w:id="13" w:author="Ana Eguiguren" w:date="2025-07-09T20:40:00Z" w:initials="AE">
    <w:p w14:paraId="6741C6A8" w14:textId="77777777" w:rsidR="00B621AC" w:rsidRDefault="00B621AC" w:rsidP="00B621AC">
      <w:r>
        <w:rPr>
          <w:rStyle w:val="CommentReference"/>
        </w:rPr>
        <w:annotationRef/>
      </w:r>
      <w:r>
        <w:rPr>
          <w:sz w:val="20"/>
          <w:szCs w:val="20"/>
        </w:rPr>
        <w:t>Agreed! Also suggested by Christine!</w:t>
      </w:r>
    </w:p>
  </w:comment>
  <w:comment w:id="15" w:author="Hal Whitehead" w:date="2025-07-07T11:36:00Z" w:initials="HW">
    <w:p w14:paraId="0671658E" w14:textId="77777777" w:rsidR="00B621AC" w:rsidRDefault="00B621AC" w:rsidP="00B621AC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I find making the point sizes proportional to certainty pretty confusing.  If anything, I would do it the other way around (big points are more certain).  But I would much prefer removing this feature.  The points with intermediate colours are necessarily less certain..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05BAAB7" w15:done="1"/>
  <w15:commentEx w15:paraId="3681133C" w15:done="1"/>
  <w15:commentEx w15:paraId="10CBBECA" w15:done="1"/>
  <w15:commentEx w15:paraId="0CE61ED4" w15:done="1"/>
  <w15:commentEx w15:paraId="73396442" w15:done="1"/>
  <w15:commentEx w15:paraId="6E206A1E" w15:done="1"/>
  <w15:commentEx w15:paraId="5998CB81" w15:done="1"/>
  <w15:commentEx w15:paraId="55C401DB" w15:done="1"/>
  <w15:commentEx w15:paraId="5B882146" w15:done="1"/>
  <w15:commentEx w15:paraId="107157CB" w15:done="0"/>
  <w15:commentEx w15:paraId="6741C6A8" w15:paraIdParent="107157CB" w15:done="0"/>
  <w15:commentEx w15:paraId="067165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DCC4C25" w16cex:dateUtc="2025-06-27T15:45:00Z"/>
  <w16cex:commentExtensible w16cex:durableId="4F85DB88" w16cex:dateUtc="2025-07-01T17:33:00Z"/>
  <w16cex:commentExtensible w16cex:durableId="454A3772" w16cex:dateUtc="2025-07-09T13:19:00Z"/>
  <w16cex:commentExtensible w16cex:durableId="319FE8C4" w16cex:dateUtc="2025-07-01T17:36:00Z">
    <w16cex:extLst>
      <w16:ext w16:uri="{CE6994B0-6A32-4C9F-8C6B-6E91EDA988CE}">
        <cr:reactions xmlns:cr="http://schemas.microsoft.com/office/comments/2020/reactions">
          <cr:reaction reactionType="1">
            <cr:reactionInfo dateUtc="2025-07-02T18:54:54Z">
              <cr:user userId="3696438d7ec69d58" userProvider="Windows Live" userName="Balaena Institute whitehead"/>
            </cr:reactionInfo>
          </cr:reaction>
        </cr:reactions>
      </w16:ext>
    </w16cex:extLst>
  </w16cex:commentExtensible>
  <w16cex:commentExtensible w16cex:durableId="3553C45C" w16cex:dateUtc="2025-07-09T13:30:00Z"/>
  <w16cex:commentExtensible w16cex:durableId="35B8946A" w16cex:dateUtc="2025-07-01T17:37:00Z"/>
  <w16cex:commentExtensible w16cex:durableId="65939E5E" w16cex:dateUtc="2025-07-01T17:41:00Z"/>
  <w16cex:commentExtensible w16cex:durableId="3BC1CCAF" w16cex:dateUtc="2025-07-01T17:46:00Z"/>
  <w16cex:commentExtensible w16cex:durableId="0F3488CF" w16cex:dateUtc="2025-07-01T17:48:00Z">
    <w16cex:extLst>
      <w16:ext w16:uri="{CE6994B0-6A32-4C9F-8C6B-6E91EDA988CE}">
        <cr:reactions xmlns:cr="http://schemas.microsoft.com/office/comments/2020/reactions">
          <cr:reaction reactionType="1">
            <cr:reactionInfo dateUtc="2025-07-02T19:02:36Z">
              <cr:user userId="3696438d7ec69d58" userProvider="Windows Live" userName="Balaena Institute whitehead"/>
            </cr:reactionInfo>
          </cr:reaction>
        </cr:reactions>
      </w16:ext>
    </w16cex:extLst>
  </w16cex:commentExtensible>
  <w16cex:commentExtensible w16cex:durableId="0FEA2CA6" w16cex:dateUtc="2025-07-09T13:37:00Z"/>
  <w16cex:commentExtensible w16cex:durableId="028400B8" w16cex:dateUtc="2025-07-09T23:40:00Z"/>
  <w16cex:commentExtensible w16cex:durableId="77B35856" w16cex:dateUtc="2025-07-07T14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5BAAB7" w16cid:durableId="7DCC4C25"/>
  <w16cid:commentId w16cid:paraId="3681133C" w16cid:durableId="4F85DB88"/>
  <w16cid:commentId w16cid:paraId="10CBBECA" w16cid:durableId="454A3772"/>
  <w16cid:commentId w16cid:paraId="0CE61ED4" w16cid:durableId="319FE8C4"/>
  <w16cid:commentId w16cid:paraId="73396442" w16cid:durableId="3553C45C"/>
  <w16cid:commentId w16cid:paraId="6E206A1E" w16cid:durableId="35B8946A"/>
  <w16cid:commentId w16cid:paraId="5998CB81" w16cid:durableId="65939E5E"/>
  <w16cid:commentId w16cid:paraId="55C401DB" w16cid:durableId="3BC1CCAF"/>
  <w16cid:commentId w16cid:paraId="5B882146" w16cid:durableId="0F3488CF"/>
  <w16cid:commentId w16cid:paraId="107157CB" w16cid:durableId="0FEA2CA6"/>
  <w16cid:commentId w16cid:paraId="6741C6A8" w16cid:durableId="028400B8"/>
  <w16cid:commentId w16cid:paraId="0671658E" w16cid:durableId="77B358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alaena Institute whitehead">
    <w15:presenceInfo w15:providerId="Windows Live" w15:userId="3696438d7ec69d58"/>
  </w15:person>
  <w15:person w15:author="Laura Feyrer">
    <w15:presenceInfo w15:providerId="AD" w15:userId="S::lr996578@dal.ca::05d5bb6f-31f7-449d-86b4-b3f733ce6aef"/>
  </w15:person>
  <w15:person w15:author="Hal Whitehead">
    <w15:presenceInfo w15:providerId="AD" w15:userId="S::hwhitehe@dal.ca::d9bf6773-906a-4701-9c5f-9758a1d04144"/>
  </w15:person>
  <w15:person w15:author="Ana Eguiguren">
    <w15:presenceInfo w15:providerId="AD" w15:userId="S::an648663@dal.ca::78fc145a-0000-4b05-b4d6-5624936d5f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AB"/>
    <w:rsid w:val="00377242"/>
    <w:rsid w:val="0048053E"/>
    <w:rsid w:val="005108C4"/>
    <w:rsid w:val="00677E42"/>
    <w:rsid w:val="00716649"/>
    <w:rsid w:val="0074645D"/>
    <w:rsid w:val="00764337"/>
    <w:rsid w:val="009A4E7C"/>
    <w:rsid w:val="009C194C"/>
    <w:rsid w:val="009D3397"/>
    <w:rsid w:val="00A25B45"/>
    <w:rsid w:val="00A72D71"/>
    <w:rsid w:val="00AB2C31"/>
    <w:rsid w:val="00AC025E"/>
    <w:rsid w:val="00B621AC"/>
    <w:rsid w:val="00C3441B"/>
    <w:rsid w:val="00CB1E24"/>
    <w:rsid w:val="00E7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B31E2"/>
  <w15:chartTrackingRefBased/>
  <w15:docId w15:val="{6770BF95-BF42-8049-A4F7-08F73BE8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D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D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D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D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ublicationFormat">
    <w:name w:val="Publication_Format"/>
    <w:basedOn w:val="TableNormal"/>
    <w:uiPriority w:val="99"/>
    <w:rsid w:val="00A25B45"/>
    <w:pPr>
      <w:jc w:val="center"/>
    </w:p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D1D1D1" w:themeFill="background2" w:themeFillShade="E6"/>
      </w:tcPr>
    </w:tblStylePr>
    <w:tblStylePr w:type="firstCol">
      <w:pPr>
        <w:jc w:val="left"/>
      </w:pPr>
    </w:tblStylePr>
  </w:style>
  <w:style w:type="table" w:customStyle="1" w:styleId="Publication1">
    <w:name w:val="Publication1"/>
    <w:basedOn w:val="TableNormal"/>
    <w:uiPriority w:val="99"/>
    <w:rsid w:val="00A25B45"/>
    <w:pPr>
      <w:jc w:val="center"/>
    </w:pPr>
    <w:rPr>
      <w:rFonts w:ascii="Times New Roman" w:hAnsi="Times New Roman"/>
      <w:lang w:val="en-US"/>
    </w:rPr>
    <w:tblPr>
      <w:tblBorders>
        <w:bottom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D1D1D1" w:themeFill="background2" w:themeFillShade="E6"/>
      </w:tcPr>
    </w:tblStylePr>
    <w:tblStylePr w:type="firstCol">
      <w:pPr>
        <w:jc w:val="left"/>
      </w:pPr>
    </w:tblStylePr>
  </w:style>
  <w:style w:type="character" w:customStyle="1" w:styleId="Heading1Char">
    <w:name w:val="Heading 1 Char"/>
    <w:basedOn w:val="DefaultParagraphFont"/>
    <w:link w:val="Heading1"/>
    <w:uiPriority w:val="9"/>
    <w:rsid w:val="00E73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D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D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D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DA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B1E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1E24"/>
    <w:pPr>
      <w:spacing w:after="160"/>
    </w:pPr>
    <w:rPr>
      <w:rFonts w:ascii="Times New Roman" w:hAnsi="Times New Roman" w:cs="Times New Roman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1E24"/>
    <w:rPr>
      <w:rFonts w:ascii="Times New Roman" w:hAnsi="Times New Roman" w:cs="Times New Roman"/>
      <w:kern w:val="2"/>
      <w:sz w:val="20"/>
      <w:szCs w:val="20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CB1E24"/>
    <w:pPr>
      <w:spacing w:after="200"/>
    </w:pPr>
    <w:rPr>
      <w:rFonts w:ascii="Times New Roman" w:hAnsi="Times New Roman" w:cs="Times New Roman"/>
      <w:i/>
      <w:iCs/>
      <w:color w:val="0E2841" w:themeColor="text2"/>
      <w:kern w:val="2"/>
      <w:sz w:val="18"/>
      <w:szCs w:val="18"/>
      <w14:ligatures w14:val="standardContextual"/>
    </w:rPr>
  </w:style>
  <w:style w:type="table" w:styleId="PlainTable4">
    <w:name w:val="Plain Table 4"/>
    <w:basedOn w:val="TableNormal"/>
    <w:uiPriority w:val="44"/>
    <w:rsid w:val="00CB1E24"/>
    <w:rPr>
      <w:kern w:val="2"/>
      <w:sz w:val="22"/>
      <w:szCs w:val="22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Eguiguren</dc:creator>
  <cp:keywords/>
  <dc:description/>
  <cp:lastModifiedBy>Ana Eguiguren</cp:lastModifiedBy>
  <cp:revision>3</cp:revision>
  <dcterms:created xsi:type="dcterms:W3CDTF">2025-07-10T22:52:00Z</dcterms:created>
  <dcterms:modified xsi:type="dcterms:W3CDTF">2025-07-10T23:06:00Z</dcterms:modified>
</cp:coreProperties>
</file>