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the pending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428945" cy="299509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45" cy="299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46625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mu7jhllckua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Include ad hoc explainers on different types of Substrate chains in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414036" cy="2991701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036" cy="299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13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7wmwggvt60nt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all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relevant information and in-depth explainers.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24002" cy="2984962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002" cy="29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280845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3zs715u4ymd5" w:id="4"/>
      <w:bookmarkEnd w:id="4"/>
      <w:r w:rsidDel="00000000" w:rsidR="00000000" w:rsidRPr="00000000">
        <w:rPr>
          <w:sz w:val="24"/>
          <w:szCs w:val="24"/>
          <w:rtl w:val="0"/>
        </w:rPr>
        <w:t xml:space="preserve">Deliver new infographics in line with new/additional Polkadot-JS functionalities.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