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12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Ações Ligadas a Categorias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Aula12_Teoria.pptx</w:t>
      </w:r>
    </w:p>
    <w:p>
      <w:pPr>
        <w:pBdr>
          <w:left w:val="single" w:color="B5651D" w:sz="24"/>
        </w:pBdr>
        <w:shd w:fill="F2F4F7" w:val="clear"/>
        <w:spacing w:after="200"/>
      </w:pPr>
      <w:r>
        <w:rPr>
          <w:i/>
          <w:iCs/>
          <w:color w:val="3A4552"/>
          <w:sz w:val="20"/>
          <w:szCs w:val="20"/>
        </w:rPr>
        <w:t xml:space="preserve">Este slide não contém células de código Julia/Pluto — é uma aula conceitual sobre ações genéricas x especializadas (frutas x roupas, despachar métodos por tipo), sem chamadas de função com valores concretos. A única menção técnica é textual ("o compilador da linguagem Julia gera código otimizado para cada combinação de tipos usada"), sem um exemplo executável. Não há função para rastrear.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2026-08-23T16:25:52.256Z</dcterms:created>
  <dcterms:modified xsi:type="dcterms:W3CDTF">2026-08-23T16:25:52.256Z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