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60"/>
      </w:pPr>
      <w:r>
        <w:rPr>
          <w:b/>
          <w:bCs/>
          <w:color w:val="5B6B7A"/>
          <w:sz w:val="24"/>
          <w:szCs w:val="24"/>
        </w:rPr>
        <w:t xml:space="preserve">Tarefa 5 de 7</w:t>
      </w:r>
    </w:p>
    <w:p>
      <w:pPr>
        <w:pBdr>
          <w:bottom w:val="single" w:color="D0D5DC" w:sz="6"/>
        </w:pBdr>
        <w:spacing w:after="200"/>
      </w:pPr>
      <w:r>
        <w:rPr>
          <w:i/>
          <w:iCs/>
          <w:color w:val="5B6B7A"/>
          <w:sz w:val="22"/>
          <w:szCs w:val="22"/>
        </w:rPr>
        <w:t xml:space="preserve">Julia + Pluto, Scratch e material concreto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Abstração e Especialização — do conceito geral ao específico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10 · Abstração e Especialização em Computação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Criar um tipo genérico (abstrato) e pelo menos duas especializações concretas que herdam o que é comum e acrescentam o que é próprio — a mesma dupla abstração/especialização trabalhada na Aula 10.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Definam um tipo abstrato e duas especializações com um comportamento comum (descrever).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abstract type Veiculo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Carro &lt;: Veiculo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rodas::Int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combustivel::String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Bicicleta &lt;: Veiculo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rodas::Int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descrever(v::Carro) = "Carro com $(v.rodas) rodas, movido a $(v.combustivel)"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descrever(v::Bicicleta) = "Bicicleta com $(v.rodas) rodas"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veiculos = [Carro(4, "gasolina"), Bicicleta(2)]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a função descrever para cada veículo da lista e acrescentem um terceiro tipo (ex.: Moto) especializando Veiculo com pelo menos um atributo próprio.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dois sprites especializados, "Carro" e "Bicicleta" (o "Veículo" genérico existe só como ideia, sem sprite próprio).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Deem a cada sprite variáveis próprias (ex.: "rodas" nos dois, "combustível" só no Carro).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em cada sprite um bloco personalizado "descrever" que mostra suas características com "diga".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Executem clicando em cada sprite e comparem as duas descrições.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Façam um cartaz central "Veículo" (conceito genérico) com setas apontando para dois cartazes "filhos": "Carro" e "Bicicleta".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 cada cartaz-filho, listem os atributos próprios (Carro: 4 rodas, combustível; Bicicleta: 2 rodas) — e uma linha comum "herdada" do cartaz genérico (todo veículo tem rodas).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se quiséssemos acrescentar um terceiro veículo, como "Patinete", o que ele herdaria do cartaz genérico, e o que seria só dele?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abstração (destacar o essencial) e especialização (hierarquia do genérico ao específico).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2026-08-22T00:15:26.450Z</dcterms:created>
  <dcterms:modified xsi:type="dcterms:W3CDTF">2026-08-22T00:15:26.450Z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