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Progress Report</w:t>
      </w:r>
    </w:p>
    <w:p>
      <w:pPr>
        <w:jc w:val="center"/>
      </w:pPr>
      <w:r>
        <w:rPr>
          <w:b/>
          <w:sz w:val="22"/>
        </w:rPr>
        <w:t>Dong Wuzheng  /  Gao Hongye  /  Yang Guanxi</w:t>
      </w:r>
    </w:p>
    <w:p>
      <w:pPr>
        <w:jc w:val="center"/>
      </w:pPr>
      <w:r>
        <w:rPr>
          <w:i/>
          <w:color w:val="555555"/>
          <w:sz w:val="20"/>
        </w:rPr>
        <w:t>Distributed Ring Attention: implementation, validation, and performance</w:t>
      </w:r>
    </w:p>
    <w:p>
      <w:pPr>
        <w:pStyle w:val="Heading1"/>
      </w:pPr>
      <w:r>
        <w:t>Report structure</w:t>
      </w:r>
    </w:p>
    <w:p>
      <w:pPr>
        <w:spacing w:after="20"/>
        <w:ind w:left="259"/>
      </w:pPr>
      <w:r>
        <w:t>1. Project overview</w:t>
      </w:r>
    </w:p>
    <w:p>
      <w:pPr>
        <w:spacing w:after="20"/>
        <w:ind w:left="259"/>
      </w:pPr>
      <w:r>
        <w:t>2. Methodology</w:t>
      </w:r>
    </w:p>
    <w:p>
      <w:pPr>
        <w:spacing w:after="20"/>
        <w:ind w:left="259"/>
      </w:pPr>
      <w:r>
        <w:t>3. Experimental setup</w:t>
      </w:r>
    </w:p>
    <w:p>
      <w:pPr>
        <w:spacing w:after="20"/>
        <w:ind w:left="259"/>
      </w:pPr>
      <w:r>
        <w:t>4. Results</w:t>
      </w:r>
    </w:p>
    <w:p>
      <w:pPr>
        <w:spacing w:after="20"/>
        <w:ind w:left="259"/>
      </w:pPr>
      <w:r>
        <w:t>5. Discussion and remaining evaluation</w:t>
      </w:r>
    </w:p>
    <w:p>
      <w:pPr>
        <w:spacing w:after="20"/>
        <w:ind w:left="259"/>
      </w:pPr>
      <w:r>
        <w:t>6. Conclusion</w:t>
      </w:r>
    </w:p>
    <w:p>
      <w:pPr>
        <w:spacing w:after="20"/>
        <w:ind w:left="259"/>
      </w:pPr>
      <w:r>
        <w:t>Appendix A. RTX 4090 run evidence</w:t>
      </w:r>
    </w:p>
    <w:p>
      <w:pPr>
        <w:spacing w:after="20"/>
        <w:ind w:left="259"/>
      </w:pPr>
      <w:r>
        <w:t>Appendix B. Source-code availability</w:t>
      </w:r>
    </w:p>
    <w:p>
      <w:pPr>
        <w:pStyle w:val="Heading1"/>
      </w:pPr>
      <w:r>
        <w:t>1. Project overview</w:t>
      </w:r>
    </w:p>
    <w:p>
      <w:r>
        <w:t>This project implements and evaluates attention kernels for long sequences on CPU and NVIDIA GPUs. Dense attention computes a query–key score for every token pair, giving quadratic work in sequence length N when feature dimensions are fixed. The project compares a serial CPU reference, an OpenMP CPU implementation, a single-GPU CUDA implementation, and a two-node MPI+CUDA Ring Attention path. The report separates measured results from experiments that still need to be run.</w:t>
      </w:r>
    </w:p>
    <w:p>
      <w:pPr>
        <w:pStyle w:val="Heading1"/>
      </w:pPr>
      <w:r>
        <w:t>2. Methodology</w:t>
      </w:r>
    </w:p>
    <w:p>
      <w:pPr>
        <w:pStyle w:val="Heading2"/>
      </w:pPr>
      <w:r>
        <w:t>2.1 Attention operation and notation</w:t>
      </w:r>
    </w:p>
    <w:p>
      <w:r>
        <w:t>For queries Q, keys K, and values V, scaled dot-product attention is:</w:t>
      </w:r>
    </w:p>
    <w:p>
      <w:pPr>
        <w:jc w:val="center"/>
      </w:pPr>
      <w:r>
        <w:rPr>
          <w:b/>
          <w:sz w:val="24"/>
        </w:rPr>
        <w:t>O = softmax(QKᵀ / √dₖ + M)V</w:t>
      </w:r>
    </w:p>
    <w:p>
      <w:r>
        <w:t>Here N is the sequence length; dₖ (written as d in the command-line arguments and experiment tables) is the query/key vector dimension; dᵥ (written as dv) is the value-vector dimension. Thus Q,K ∈ ℝᴺˣᵈ, V ∈ ℝᴺˣᵈᵛ, and O ∈ ℝᴺˣᵈᵛ. M is zero for allowed positions and −∞ for masked positions. In causal attention, a query at position i cannot attend to a later key j &gt; i.</w:t>
      </w:r>
    </w:p>
    <w:p>
      <w:pPr>
        <w:pStyle w:val="Heading2"/>
      </w:pPr>
      <w:r>
        <w:t>2.2 Ring Attention, blocking, and online softmax</w:t>
      </w:r>
    </w:p>
    <w:p>
      <w:r>
        <w:t>Ring Attention divides the query rows into blocks of Bq rows and keys/values into blocks of Bk rows. The outer loop processes one query block at a time. For that query block, the inner loop visits key/value blocks, including blocks circulated from other MPI ranks around the ring. Each rank keeps its query block and streams key/value tiles; it does not gather the entire key/value sequence on every GPU.</w:t>
      </w:r>
    </w:p>
    <w:p>
      <w:pPr>
        <w:spacing w:after="40"/>
        <w:jc w:val="center"/>
      </w:pPr>
      <w:r>
        <w:drawing>
          <wp:inline xmlns:a="http://schemas.openxmlformats.org/drawingml/2006/main" xmlns:pic="http://schemas.openxmlformats.org/drawingml/2006/picture">
            <wp:extent cx="5623560" cy="308689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23560" cy="3086896"/>
                    </a:xfrm>
                    <a:prstGeom prst="rect"/>
                  </pic:spPr>
                </pic:pic>
              </a:graphicData>
            </a:graphic>
          </wp:inline>
        </w:drawing>
      </w:r>
    </w:p>
    <w:p>
      <w:pPr>
        <w:spacing w:before="0" w:after="120"/>
        <w:jc w:val="center"/>
      </w:pPr>
      <w:r>
        <w:rPr>
          <w:i/>
          <w:color w:val="444444"/>
          <w:sz w:val="18"/>
        </w:rPr>
        <w:t>Figure 1. Query blocks remain local while key/value tiles circulate between ranks.</w:t>
      </w:r>
    </w:p>
    <w:p>
      <w:r>
        <w:t>For each query row, the kernel keeps a running maximum m, softmax denominator ℓ, and weighted value sum u. When a new score tile s and value tile Vtile arrive, the online update rescales the prior partial result and incorporates the new tile. This avoids materializing the full N × N score matrix. The arithmetic remains O(N²d) for fixed dᵥ, while the tiled computation limits intermediate score storage to the current tile.</w:t>
      </w:r>
    </w:p>
    <w:p>
      <w:pPr>
        <w:jc w:val="center"/>
      </w:pPr>
      <w:r>
        <w:rPr>
          <w:b/>
          <w:sz w:val="20"/>
        </w:rPr>
        <w:t>m′ = max(m, max(s));   ℓ′ = eᵐ⁻ᵐ′ℓ + Σⱼeˢʲ⁻ᵐ′;   u′ = eᵐ⁻ᵐ′u + Σⱼeˢʲ⁻ᵐ′vⱼ</w:t>
      </w:r>
    </w:p>
    <w:p>
      <w:r>
        <w:t>The tile sizes Bq and Bk determine the amount of work handled per iteration. Larger tiles can improve data reuse and reduce loop/communication scheduling overhead, but may also increase register/shared-memory use and reduce occupancy. The measured tile results are discussed in Section 4.6.</w:t>
      </w:r>
    </w:p>
    <w:p>
      <w:pPr>
        <w:pStyle w:val="Heading2"/>
      </w:pPr>
      <w:r>
        <w:t>2.3 Data movement</w:t>
      </w:r>
    </w:p>
    <w:p>
      <w:r>
        <w:t>The local CUDA path uploads the input tensors from host memory to the GPU before kernel execution. Its run output reports max_upload_ms and max_compute_ms separately. The Vanda multi-node path uses host-staged MPI communication for key/value blocks between ranks; therefore MPI transfer and synchronization costs are part of the distributed execution. The current Vanda summary does not provide a complete per-stage breakdown, so the distributed runtime cannot yet be attributed solely to communication.</w:t>
      </w:r>
    </w:p>
    <w:p>
      <w:pPr>
        <w:pStyle w:val="Heading1"/>
      </w:pPr>
      <w:r>
        <w:t>3. Experimental setup</w:t>
      </w:r>
    </w:p>
    <w:p>
      <w:r>
        <w:t>The CPU serial and OpenMP measurements use FP64. The Vanda single-GPU and MPI+CUDA measurements use FP32. The local NVIDIA GeForce RTX 4090 validation uses CUDA FP32 and compares outputs with an FP64 CPU reference. Vanda runs used CUDA Toolkit 12.4 and Open MPI 4.1.8. The first two-node attempt (Job 1475534) placed both ranks on one node and stopped before kernel execution; the launch was corrected to place one rank per node, after which the smoke test and full benchmark completed.</w:t>
      </w:r>
    </w:p>
    <w:p>
      <w:r>
        <w:t>Timing figures are medians of five repetitions unless a test was a single-run validation. Cross-device numbers are project baselines, not a controlled comparison of identical host systems.</w:t>
      </w:r>
    </w:p>
    <w:p>
      <w:pPr>
        <w:pStyle w:val="Heading1"/>
      </w:pPr>
      <w:r>
        <w:t>4. Results</w:t>
      </w:r>
    </w:p>
    <w:p>
      <w:pPr>
        <w:pStyle w:val="Heading2"/>
      </w:pPr>
      <w:r>
        <w:t>4.1 Correctness and error definition</w:t>
      </w:r>
    </w:p>
    <w:p>
      <w:r>
        <w:t>Each tested output O is compared elementwise with the FP64 CPU reference Oref. Maximum absolute error is maxᵢ |Oᵢ − Orefᵢ|. Relative L2 error is ‖O − Oref‖₂ / ‖Oref‖₂. A run is marked PASS when it satisfies the implementation’s validation tolerance.</w:t>
      </w:r>
    </w:p>
    <w:tbl>
      <w:tblPr>
        <w:tblStyle w:val="TableGrid"/>
        <w:tblW w:type="auto" w:w="0"/>
        <w:jc w:val="center"/>
        <w:tblLayout w:type="autofit"/>
        <w:tblLook w:firstColumn="1" w:firstRow="1" w:lastColumn="0" w:lastRow="0" w:noHBand="0" w:noVBand="1" w:val="04A0"/>
      </w:tblPr>
      <w:tblGrid>
        <w:gridCol w:w="1976"/>
        <w:gridCol w:w="1976"/>
        <w:gridCol w:w="1976"/>
        <w:gridCol w:w="1976"/>
        <w:gridCol w:w="1976"/>
      </w:tblGrid>
      <w:tr>
        <w:trPr>
          <w:tblHeader w:val="true"/>
        </w:trPr>
        <w:tc>
          <w:tcPr>
            <w:tcW w:type="dxa" w:w="1976"/>
            <w:vAlign w:val="center"/>
            <w:shd w:fill="1F4E79"/>
          </w:tcPr>
          <w:p>
            <w:pPr>
              <w:spacing w:after="0"/>
            </w:pPr>
            <w:r/>
            <w:r>
              <w:rPr>
                <w:rFonts w:ascii="Arial" w:hAnsi="Arial"/>
                <w:b/>
                <w:color w:val="FFFFFF"/>
                <w:sz w:val="17"/>
              </w:rPr>
              <w:t>Run</w:t>
            </w:r>
          </w:p>
        </w:tc>
        <w:tc>
          <w:tcPr>
            <w:tcW w:type="dxa" w:w="1976"/>
            <w:vAlign w:val="center"/>
            <w:shd w:fill="1F4E79"/>
          </w:tcPr>
          <w:p>
            <w:pPr>
              <w:spacing w:after="0"/>
            </w:pPr>
            <w:r/>
            <w:r>
              <w:rPr>
                <w:rFonts w:ascii="Arial" w:hAnsi="Arial"/>
                <w:b/>
                <w:color w:val="FFFFFF"/>
                <w:sz w:val="17"/>
              </w:rPr>
              <w:t>Input</w:t>
            </w:r>
          </w:p>
        </w:tc>
        <w:tc>
          <w:tcPr>
            <w:tcW w:type="dxa" w:w="1976"/>
            <w:vAlign w:val="center"/>
            <w:shd w:fill="1F4E79"/>
          </w:tcPr>
          <w:p>
            <w:pPr>
              <w:spacing w:after="0"/>
            </w:pPr>
            <w:r/>
            <w:r>
              <w:rPr>
                <w:rFonts w:ascii="Arial" w:hAnsi="Arial"/>
                <w:b/>
                <w:color w:val="FFFFFF"/>
                <w:sz w:val="17"/>
              </w:rPr>
              <w:t>Maximum absolute error</w:t>
            </w:r>
          </w:p>
        </w:tc>
        <w:tc>
          <w:tcPr>
            <w:tcW w:type="dxa" w:w="1976"/>
            <w:vAlign w:val="center"/>
            <w:shd w:fill="1F4E79"/>
          </w:tcPr>
          <w:p>
            <w:pPr>
              <w:spacing w:after="0"/>
            </w:pPr>
            <w:r/>
            <w:r>
              <w:rPr>
                <w:rFonts w:ascii="Arial" w:hAnsi="Arial"/>
                <w:b/>
                <w:color w:val="FFFFFF"/>
                <w:sz w:val="17"/>
              </w:rPr>
              <w:t>Relative L2 error</w:t>
            </w:r>
          </w:p>
        </w:tc>
        <w:tc>
          <w:tcPr>
            <w:tcW w:type="dxa" w:w="1976"/>
            <w:vAlign w:val="center"/>
            <w:shd w:fill="1F4E79"/>
          </w:tcPr>
          <w:p>
            <w:pPr>
              <w:spacing w:after="0"/>
            </w:pPr>
            <w:r/>
            <w:r>
              <w:rPr>
                <w:rFonts w:ascii="Arial" w:hAnsi="Arial"/>
                <w:b/>
                <w:color w:val="FFFFFF"/>
                <w:sz w:val="17"/>
              </w:rPr>
              <w:t>Result</w:t>
            </w:r>
          </w:p>
        </w:tc>
      </w:tr>
      <w:tr>
        <w:tc>
          <w:tcPr>
            <w:tcW w:type="dxa" w:w="1976"/>
            <w:vAlign w:val="center"/>
          </w:tcPr>
          <w:p>
            <w:pPr>
              <w:spacing w:after="0"/>
            </w:pPr>
            <w:r/>
            <w:r>
              <w:rPr>
                <w:rFonts w:ascii="Arial" w:hAnsi="Arial"/>
                <w:b w:val="0"/>
                <w:sz w:val="17"/>
              </w:rPr>
              <w:t>RTX 4090, full</w:t>
            </w:r>
          </w:p>
        </w:tc>
        <w:tc>
          <w:tcPr>
            <w:tcW w:type="dxa" w:w="1976"/>
            <w:vAlign w:val="center"/>
          </w:tcPr>
          <w:p>
            <w:pPr>
              <w:spacing w:after="0"/>
            </w:pPr>
            <w:r/>
            <w:r>
              <w:rPr>
                <w:rFonts w:ascii="Arial" w:hAnsi="Arial"/>
                <w:b w:val="0"/>
                <w:sz w:val="17"/>
              </w:rPr>
              <w:t>N=257, d=31, dv=19</w:t>
            </w:r>
          </w:p>
        </w:tc>
        <w:tc>
          <w:tcPr>
            <w:tcW w:type="dxa" w:w="1976"/>
            <w:vAlign w:val="center"/>
          </w:tcPr>
          <w:p>
            <w:pPr>
              <w:spacing w:after="0"/>
            </w:pPr>
            <w:r/>
            <w:r>
              <w:rPr>
                <w:rFonts w:ascii="Arial" w:hAnsi="Arial"/>
                <w:b w:val="0"/>
                <w:sz w:val="17"/>
              </w:rPr>
              <w:t>3.5195 × 10⁻⁸</w:t>
            </w:r>
          </w:p>
        </w:tc>
        <w:tc>
          <w:tcPr>
            <w:tcW w:type="dxa" w:w="1976"/>
            <w:vAlign w:val="center"/>
          </w:tcPr>
          <w:p>
            <w:pPr>
              <w:spacing w:after="0"/>
            </w:pPr>
            <w:r/>
            <w:r>
              <w:rPr>
                <w:rFonts w:ascii="Arial" w:hAnsi="Arial"/>
                <w:b w:val="0"/>
                <w:sz w:val="17"/>
              </w:rPr>
              <w:t>1.6572 × 10⁻⁷</w:t>
            </w:r>
          </w:p>
        </w:tc>
        <w:tc>
          <w:tcPr>
            <w:tcW w:type="dxa" w:w="1976"/>
            <w:vAlign w:val="center"/>
          </w:tcPr>
          <w:p>
            <w:pPr>
              <w:spacing w:after="0"/>
            </w:pPr>
            <w:r/>
            <w:r>
              <w:rPr>
                <w:rFonts w:ascii="Arial" w:hAnsi="Arial"/>
                <w:b w:val="0"/>
                <w:sz w:val="17"/>
              </w:rPr>
              <w:t>PASS</w:t>
            </w:r>
          </w:p>
        </w:tc>
      </w:tr>
      <w:tr>
        <w:tc>
          <w:tcPr>
            <w:tcW w:type="dxa" w:w="1976"/>
            <w:vAlign w:val="center"/>
            <w:shd w:fill="F3F6F9"/>
          </w:tcPr>
          <w:p>
            <w:pPr>
              <w:spacing w:after="0"/>
            </w:pPr>
            <w:r/>
            <w:r>
              <w:rPr>
                <w:rFonts w:ascii="Arial" w:hAnsi="Arial"/>
                <w:b w:val="0"/>
                <w:sz w:val="17"/>
              </w:rPr>
              <w:t>Vanda, two nodes, full</w:t>
            </w:r>
          </w:p>
        </w:tc>
        <w:tc>
          <w:tcPr>
            <w:tcW w:type="dxa" w:w="1976"/>
            <w:vAlign w:val="center"/>
            <w:shd w:fill="F3F6F9"/>
          </w:tcPr>
          <w:p>
            <w:pPr>
              <w:spacing w:after="0"/>
            </w:pPr>
            <w:r/>
            <w:r>
              <w:rPr>
                <w:rFonts w:ascii="Arial" w:hAnsi="Arial"/>
                <w:b w:val="0"/>
                <w:sz w:val="17"/>
              </w:rPr>
              <w:t>N=257, d=31, dv=19</w:t>
            </w:r>
          </w:p>
        </w:tc>
        <w:tc>
          <w:tcPr>
            <w:tcW w:type="dxa" w:w="1976"/>
            <w:vAlign w:val="center"/>
            <w:shd w:fill="F3F6F9"/>
          </w:tcPr>
          <w:p>
            <w:pPr>
              <w:spacing w:after="0"/>
            </w:pPr>
            <w:r/>
            <w:r>
              <w:rPr>
                <w:rFonts w:ascii="Arial" w:hAnsi="Arial"/>
                <w:b w:val="0"/>
                <w:sz w:val="17"/>
              </w:rPr>
              <w:t>2.5164 × 10⁻⁸</w:t>
            </w:r>
          </w:p>
        </w:tc>
        <w:tc>
          <w:tcPr>
            <w:tcW w:type="dxa" w:w="1976"/>
            <w:vAlign w:val="center"/>
            <w:shd w:fill="F3F6F9"/>
          </w:tcPr>
          <w:p>
            <w:pPr>
              <w:spacing w:after="0"/>
            </w:pPr>
            <w:r/>
            <w:r>
              <w:rPr>
                <w:rFonts w:ascii="Arial" w:hAnsi="Arial"/>
                <w:b w:val="0"/>
                <w:sz w:val="17"/>
              </w:rPr>
              <w:t>1.2781 × 10⁻⁷</w:t>
            </w:r>
          </w:p>
        </w:tc>
        <w:tc>
          <w:tcPr>
            <w:tcW w:type="dxa" w:w="1976"/>
            <w:vAlign w:val="center"/>
            <w:shd w:fill="F3F6F9"/>
          </w:tcPr>
          <w:p>
            <w:pPr>
              <w:spacing w:after="0"/>
            </w:pPr>
            <w:r/>
            <w:r>
              <w:rPr>
                <w:rFonts w:ascii="Arial" w:hAnsi="Arial"/>
                <w:b w:val="0"/>
                <w:sz w:val="17"/>
              </w:rPr>
              <w:t>PASS</w:t>
            </w:r>
          </w:p>
        </w:tc>
      </w:tr>
      <w:tr>
        <w:tc>
          <w:tcPr>
            <w:tcW w:type="dxa" w:w="1976"/>
            <w:vAlign w:val="center"/>
          </w:tcPr>
          <w:p>
            <w:pPr>
              <w:spacing w:after="0"/>
            </w:pPr>
            <w:r/>
            <w:r>
              <w:rPr>
                <w:rFonts w:ascii="Arial" w:hAnsi="Arial"/>
                <w:b w:val="0"/>
                <w:sz w:val="17"/>
              </w:rPr>
              <w:t>Vanda, two nodes, causal</w:t>
            </w:r>
          </w:p>
        </w:tc>
        <w:tc>
          <w:tcPr>
            <w:tcW w:type="dxa" w:w="1976"/>
            <w:vAlign w:val="center"/>
          </w:tcPr>
          <w:p>
            <w:pPr>
              <w:spacing w:after="0"/>
            </w:pPr>
            <w:r/>
            <w:r>
              <w:rPr>
                <w:rFonts w:ascii="Arial" w:hAnsi="Arial"/>
                <w:b w:val="0"/>
                <w:sz w:val="17"/>
              </w:rPr>
              <w:t>N=257, d=31, dv=19</w:t>
            </w:r>
          </w:p>
        </w:tc>
        <w:tc>
          <w:tcPr>
            <w:tcW w:type="dxa" w:w="1976"/>
            <w:vAlign w:val="center"/>
          </w:tcPr>
          <w:p>
            <w:pPr>
              <w:spacing w:after="0"/>
            </w:pPr>
            <w:r/>
            <w:r>
              <w:rPr>
                <w:rFonts w:ascii="Arial" w:hAnsi="Arial"/>
                <w:b w:val="0"/>
                <w:sz w:val="17"/>
              </w:rPr>
              <w:t>7.4686 × 10⁻⁸</w:t>
            </w:r>
          </w:p>
        </w:tc>
        <w:tc>
          <w:tcPr>
            <w:tcW w:type="dxa" w:w="1976"/>
            <w:vAlign w:val="center"/>
          </w:tcPr>
          <w:p>
            <w:pPr>
              <w:spacing w:after="0"/>
            </w:pPr>
            <w:r/>
            <w:r>
              <w:rPr>
                <w:rFonts w:ascii="Arial" w:hAnsi="Arial"/>
                <w:b w:val="0"/>
                <w:sz w:val="17"/>
              </w:rPr>
              <w:t>8.9793 × 10⁻⁸</w:t>
            </w:r>
          </w:p>
        </w:tc>
        <w:tc>
          <w:tcPr>
            <w:tcW w:type="dxa" w:w="1976"/>
            <w:vAlign w:val="center"/>
          </w:tcPr>
          <w:p>
            <w:pPr>
              <w:spacing w:after="0"/>
            </w:pPr>
            <w:r/>
            <w:r>
              <w:rPr>
                <w:rFonts w:ascii="Arial" w:hAnsi="Arial"/>
                <w:b w:val="0"/>
                <w:sz w:val="17"/>
              </w:rPr>
              <w:t>PASS</w:t>
            </w:r>
          </w:p>
        </w:tc>
      </w:tr>
    </w:tbl>
    <w:p>
      <w:pPr>
        <w:spacing w:after="20"/>
      </w:pPr>
    </w:p>
    <w:p>
      <w:pPr>
        <w:spacing w:before="0" w:after="120"/>
        <w:jc w:val="center"/>
      </w:pPr>
      <w:r>
        <w:rPr>
          <w:i/>
          <w:color w:val="444444"/>
          <w:sz w:val="18"/>
        </w:rPr>
        <w:t>Table 1. Numerical validation against the FP64 CPU reference.</w:t>
      </w:r>
    </w:p>
    <w:p>
      <w:pPr>
        <w:pStyle w:val="Heading2"/>
      </w:pPr>
      <w:r>
        <w:t>4.2 Runtime growth with sequence length</w:t>
      </w:r>
    </w:p>
    <w:p>
      <w:r>
        <w:t>For fixed d=dv=64, dense attention has O(N²d) arithmetic complexity, so runtime is expected to grow approximately quadratically with N. Table 2 reports each measured runtime and the ratio to the previous N, which doubles at each step.</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tblHeader w:val="true"/>
        </w:trPr>
        <w:tc>
          <w:tcPr>
            <w:tcW w:type="dxa" w:w="2469"/>
            <w:vAlign w:val="center"/>
            <w:shd w:fill="1F4E79"/>
          </w:tcPr>
          <w:p>
            <w:pPr>
              <w:spacing w:after="0"/>
            </w:pPr>
            <w:r/>
            <w:r>
              <w:rPr>
                <w:rFonts w:ascii="Arial" w:hAnsi="Arial"/>
                <w:b/>
                <w:color w:val="FFFFFF"/>
                <w:sz w:val="17"/>
              </w:rPr>
              <w:t>N (d=dv=64)</w:t>
            </w:r>
          </w:p>
        </w:tc>
        <w:tc>
          <w:tcPr>
            <w:tcW w:type="dxa" w:w="2469"/>
            <w:vAlign w:val="center"/>
            <w:shd w:fill="1F4E79"/>
          </w:tcPr>
          <w:p>
            <w:pPr>
              <w:spacing w:after="0"/>
            </w:pPr>
            <w:r/>
            <w:r>
              <w:rPr>
                <w:rFonts w:ascii="Arial" w:hAnsi="Arial"/>
                <w:b/>
                <w:color w:val="FFFFFF"/>
                <w:sz w:val="17"/>
              </w:rPr>
              <w:t>Serial CPU FP64</w:t>
            </w:r>
          </w:p>
        </w:tc>
        <w:tc>
          <w:tcPr>
            <w:tcW w:type="dxa" w:w="2469"/>
            <w:vAlign w:val="center"/>
            <w:shd w:fill="1F4E79"/>
          </w:tcPr>
          <w:p>
            <w:pPr>
              <w:spacing w:after="0"/>
            </w:pPr>
            <w:r/>
            <w:r>
              <w:rPr>
                <w:rFonts w:ascii="Arial" w:hAnsi="Arial"/>
                <w:b/>
                <w:color w:val="FFFFFF"/>
                <w:sz w:val="17"/>
              </w:rPr>
              <w:t>Vanda A40, one GPU FP32</w:t>
            </w:r>
          </w:p>
        </w:tc>
        <w:tc>
          <w:tcPr>
            <w:tcW w:type="dxa" w:w="2469"/>
            <w:vAlign w:val="center"/>
            <w:shd w:fill="1F4E79"/>
          </w:tcPr>
          <w:p>
            <w:pPr>
              <w:spacing w:after="0"/>
            </w:pPr>
            <w:r/>
            <w:r>
              <w:rPr>
                <w:rFonts w:ascii="Arial" w:hAnsi="Arial"/>
                <w:b/>
                <w:color w:val="FFFFFF"/>
                <w:sz w:val="17"/>
              </w:rPr>
              <w:t>Runtime ratio vs previous N (CPU / GPU)</w:t>
            </w:r>
          </w:p>
        </w:tc>
      </w:tr>
      <w:tr>
        <w:tc>
          <w:tcPr>
            <w:tcW w:type="dxa" w:w="2469"/>
            <w:vAlign w:val="center"/>
          </w:tcPr>
          <w:p>
            <w:pPr>
              <w:spacing w:after="0"/>
            </w:pPr>
            <w:r/>
            <w:r>
              <w:rPr>
                <w:rFonts w:ascii="Arial" w:hAnsi="Arial"/>
                <w:b w:val="0"/>
                <w:sz w:val="17"/>
              </w:rPr>
              <w:t>512</w:t>
            </w:r>
          </w:p>
        </w:tc>
        <w:tc>
          <w:tcPr>
            <w:tcW w:type="dxa" w:w="2469"/>
            <w:vAlign w:val="center"/>
          </w:tcPr>
          <w:p>
            <w:pPr>
              <w:spacing w:after="0"/>
            </w:pPr>
            <w:r/>
            <w:r>
              <w:rPr>
                <w:rFonts w:ascii="Arial" w:hAnsi="Arial"/>
                <w:b w:val="0"/>
                <w:sz w:val="17"/>
              </w:rPr>
              <w:t>17.515 ms</w:t>
            </w:r>
          </w:p>
        </w:tc>
        <w:tc>
          <w:tcPr>
            <w:tcW w:type="dxa" w:w="2469"/>
            <w:vAlign w:val="center"/>
          </w:tcPr>
          <w:p>
            <w:pPr>
              <w:spacing w:after="0"/>
            </w:pPr>
            <w:r/>
            <w:r>
              <w:rPr>
                <w:rFonts w:ascii="Arial" w:hAnsi="Arial"/>
                <w:b w:val="0"/>
                <w:sz w:val="17"/>
              </w:rPr>
              <w:t>0.248 ms</w:t>
            </w:r>
          </w:p>
        </w:tc>
        <w:tc>
          <w:tcPr>
            <w:tcW w:type="dxa" w:w="2469"/>
            <w:vAlign w:val="center"/>
          </w:tcPr>
          <w:p>
            <w:pPr>
              <w:spacing w:after="0"/>
            </w:pPr>
            <w:r/>
            <w:r>
              <w:rPr>
                <w:rFonts w:ascii="Arial" w:hAnsi="Arial"/>
                <w:b w:val="0"/>
                <w:sz w:val="17"/>
              </w:rPr>
              <w:t>—</w:t>
            </w:r>
          </w:p>
        </w:tc>
      </w:tr>
      <w:tr>
        <w:tc>
          <w:tcPr>
            <w:tcW w:type="dxa" w:w="2469"/>
            <w:vAlign w:val="center"/>
            <w:shd w:fill="F3F6F9"/>
          </w:tcPr>
          <w:p>
            <w:pPr>
              <w:spacing w:after="0"/>
            </w:pPr>
            <w:r/>
            <w:r>
              <w:rPr>
                <w:rFonts w:ascii="Arial" w:hAnsi="Arial"/>
                <w:b w:val="0"/>
                <w:sz w:val="17"/>
              </w:rPr>
              <w:t>1024</w:t>
            </w:r>
          </w:p>
        </w:tc>
        <w:tc>
          <w:tcPr>
            <w:tcW w:type="dxa" w:w="2469"/>
            <w:vAlign w:val="center"/>
            <w:shd w:fill="F3F6F9"/>
          </w:tcPr>
          <w:p>
            <w:pPr>
              <w:spacing w:after="0"/>
            </w:pPr>
            <w:r/>
            <w:r>
              <w:rPr>
                <w:rFonts w:ascii="Arial" w:hAnsi="Arial"/>
                <w:b w:val="0"/>
                <w:sz w:val="17"/>
              </w:rPr>
              <w:t>70.418 ms</w:t>
            </w:r>
          </w:p>
        </w:tc>
        <w:tc>
          <w:tcPr>
            <w:tcW w:type="dxa" w:w="2469"/>
            <w:vAlign w:val="center"/>
            <w:shd w:fill="F3F6F9"/>
          </w:tcPr>
          <w:p>
            <w:pPr>
              <w:spacing w:after="0"/>
            </w:pPr>
            <w:r/>
            <w:r>
              <w:rPr>
                <w:rFonts w:ascii="Arial" w:hAnsi="Arial"/>
                <w:b w:val="0"/>
                <w:sz w:val="17"/>
              </w:rPr>
              <w:t>0.648 ms</w:t>
            </w:r>
          </w:p>
        </w:tc>
        <w:tc>
          <w:tcPr>
            <w:tcW w:type="dxa" w:w="2469"/>
            <w:vAlign w:val="center"/>
            <w:shd w:fill="F3F6F9"/>
          </w:tcPr>
          <w:p>
            <w:pPr>
              <w:spacing w:after="0"/>
            </w:pPr>
            <w:r/>
            <w:r>
              <w:rPr>
                <w:rFonts w:ascii="Arial" w:hAnsi="Arial"/>
                <w:b w:val="0"/>
                <w:sz w:val="17"/>
              </w:rPr>
              <w:t>4.02× / 2.61×</w:t>
            </w:r>
          </w:p>
        </w:tc>
      </w:tr>
      <w:tr>
        <w:tc>
          <w:tcPr>
            <w:tcW w:type="dxa" w:w="2469"/>
            <w:vAlign w:val="center"/>
          </w:tcPr>
          <w:p>
            <w:pPr>
              <w:spacing w:after="0"/>
            </w:pPr>
            <w:r/>
            <w:r>
              <w:rPr>
                <w:rFonts w:ascii="Arial" w:hAnsi="Arial"/>
                <w:b w:val="0"/>
                <w:sz w:val="17"/>
              </w:rPr>
              <w:t>2048</w:t>
            </w:r>
          </w:p>
        </w:tc>
        <w:tc>
          <w:tcPr>
            <w:tcW w:type="dxa" w:w="2469"/>
            <w:vAlign w:val="center"/>
          </w:tcPr>
          <w:p>
            <w:pPr>
              <w:spacing w:after="0"/>
            </w:pPr>
            <w:r/>
            <w:r>
              <w:rPr>
                <w:rFonts w:ascii="Arial" w:hAnsi="Arial"/>
                <w:b w:val="0"/>
                <w:sz w:val="17"/>
              </w:rPr>
              <w:t>263.479 ms</w:t>
            </w:r>
          </w:p>
        </w:tc>
        <w:tc>
          <w:tcPr>
            <w:tcW w:type="dxa" w:w="2469"/>
            <w:vAlign w:val="center"/>
          </w:tcPr>
          <w:p>
            <w:pPr>
              <w:spacing w:after="0"/>
            </w:pPr>
            <w:r/>
            <w:r>
              <w:rPr>
                <w:rFonts w:ascii="Arial" w:hAnsi="Arial"/>
                <w:b w:val="0"/>
                <w:sz w:val="17"/>
              </w:rPr>
              <w:t>2.345 ms</w:t>
            </w:r>
          </w:p>
        </w:tc>
        <w:tc>
          <w:tcPr>
            <w:tcW w:type="dxa" w:w="2469"/>
            <w:vAlign w:val="center"/>
          </w:tcPr>
          <w:p>
            <w:pPr>
              <w:spacing w:after="0"/>
            </w:pPr>
            <w:r/>
            <w:r>
              <w:rPr>
                <w:rFonts w:ascii="Arial" w:hAnsi="Arial"/>
                <w:b w:val="0"/>
                <w:sz w:val="17"/>
              </w:rPr>
              <w:t>3.74× / 3.62×</w:t>
            </w:r>
          </w:p>
        </w:tc>
      </w:tr>
      <w:tr>
        <w:tc>
          <w:tcPr>
            <w:tcW w:type="dxa" w:w="2469"/>
            <w:vAlign w:val="center"/>
            <w:shd w:fill="F3F6F9"/>
          </w:tcPr>
          <w:p>
            <w:pPr>
              <w:spacing w:after="0"/>
            </w:pPr>
            <w:r/>
            <w:r>
              <w:rPr>
                <w:rFonts w:ascii="Arial" w:hAnsi="Arial"/>
                <w:b w:val="0"/>
                <w:sz w:val="17"/>
              </w:rPr>
              <w:t>4096</w:t>
            </w:r>
          </w:p>
        </w:tc>
        <w:tc>
          <w:tcPr>
            <w:tcW w:type="dxa" w:w="2469"/>
            <w:vAlign w:val="center"/>
            <w:shd w:fill="F3F6F9"/>
          </w:tcPr>
          <w:p>
            <w:pPr>
              <w:spacing w:after="0"/>
            </w:pPr>
            <w:r/>
            <w:r>
              <w:rPr>
                <w:rFonts w:ascii="Arial" w:hAnsi="Arial"/>
                <w:b w:val="0"/>
                <w:sz w:val="17"/>
              </w:rPr>
              <w:t>913.966 ms</w:t>
            </w:r>
          </w:p>
        </w:tc>
        <w:tc>
          <w:tcPr>
            <w:tcW w:type="dxa" w:w="2469"/>
            <w:vAlign w:val="center"/>
            <w:shd w:fill="F3F6F9"/>
          </w:tcPr>
          <w:p>
            <w:pPr>
              <w:spacing w:after="0"/>
            </w:pPr>
            <w:r/>
            <w:r>
              <w:rPr>
                <w:rFonts w:ascii="Arial" w:hAnsi="Arial"/>
                <w:b w:val="0"/>
                <w:sz w:val="17"/>
              </w:rPr>
              <w:t>8.845 ms</w:t>
            </w:r>
          </w:p>
        </w:tc>
        <w:tc>
          <w:tcPr>
            <w:tcW w:type="dxa" w:w="2469"/>
            <w:vAlign w:val="center"/>
            <w:shd w:fill="F3F6F9"/>
          </w:tcPr>
          <w:p>
            <w:pPr>
              <w:spacing w:after="0"/>
            </w:pPr>
            <w:r/>
            <w:r>
              <w:rPr>
                <w:rFonts w:ascii="Arial" w:hAnsi="Arial"/>
                <w:b w:val="0"/>
                <w:sz w:val="17"/>
              </w:rPr>
              <w:t>3.47× / 3.77×</w:t>
            </w:r>
          </w:p>
        </w:tc>
      </w:tr>
    </w:tbl>
    <w:p>
      <w:pPr>
        <w:spacing w:after="20"/>
      </w:pPr>
    </w:p>
    <w:p>
      <w:pPr>
        <w:spacing w:before="0" w:after="120"/>
        <w:jc w:val="center"/>
      </w:pPr>
      <w:r>
        <w:rPr>
          <w:i/>
          <w:color w:val="444444"/>
          <w:sz w:val="18"/>
        </w:rPr>
        <w:t>Table 2. CPU and single-GPU runtime as sequence length increases.</w:t>
      </w:r>
    </w:p>
    <w:p>
      <w:r>
        <w:t>The CPU ratios are 3.47–4.02× and the GPU ratios are 2.61–3.77× for each doubling of N. The measurements broadly follow the expected quadratic trend; the smaller GPU ratio at the first interval is consistent with fixed launch and setup overheads being a larger fraction of short runs. Additional matched-precision measurements are listed as pending in Section 5.</w:t>
      </w:r>
    </w:p>
    <w:p>
      <w:pPr>
        <w:spacing w:after="40"/>
        <w:jc w:val="center"/>
      </w:pPr>
      <w:r>
        <w:drawing>
          <wp:inline xmlns:a="http://schemas.openxmlformats.org/drawingml/2006/main" xmlns:pic="http://schemas.openxmlformats.org/drawingml/2006/picture">
            <wp:extent cx="5669280" cy="2787531"/>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2787531"/>
                    </a:xfrm>
                    <a:prstGeom prst="rect"/>
                  </pic:spPr>
                </pic:pic>
              </a:graphicData>
            </a:graphic>
          </wp:inline>
        </w:drawing>
      </w:r>
    </w:p>
    <w:p>
      <w:pPr>
        <w:spacing w:before="0" w:after="120"/>
        <w:jc w:val="center"/>
      </w:pPr>
      <w:r>
        <w:rPr>
          <w:i/>
          <w:color w:val="444444"/>
          <w:sz w:val="18"/>
        </w:rPr>
        <w:t>Figure 2. Runtime comparison at N=4096; the vertical axis is logarithmic.</w:t>
      </w:r>
    </w:p>
    <w:p>
      <w:pPr>
        <w:pStyle w:val="Heading2"/>
      </w:pPr>
      <w:r>
        <w:t>4.3 OpenMP scaling, speedup, and efficiency</w:t>
      </w:r>
    </w:p>
    <w:p>
      <w:r>
        <w:t>Parallel speedup is Sₚ = T₁/Tₚ, where T₁ is the one-thread time and Tₚ is the p-thread time. Parallel efficiency is Eₚ = Sₚ/p. The table computes these values from the measured N=4096 CPU runtimes.</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tblHeader w:val="true"/>
        </w:trPr>
        <w:tc>
          <w:tcPr>
            <w:tcW w:type="dxa" w:w="2469"/>
            <w:vAlign w:val="center"/>
            <w:shd w:fill="1F4E79"/>
          </w:tcPr>
          <w:p>
            <w:pPr>
              <w:spacing w:after="0"/>
            </w:pPr>
            <w:r/>
            <w:r>
              <w:rPr>
                <w:rFonts w:ascii="Arial" w:hAnsi="Arial"/>
                <w:b/>
                <w:color w:val="FFFFFF"/>
                <w:sz w:val="18"/>
              </w:rPr>
              <w:t>OpenMP threads</w:t>
            </w:r>
          </w:p>
        </w:tc>
        <w:tc>
          <w:tcPr>
            <w:tcW w:type="dxa" w:w="2469"/>
            <w:vAlign w:val="center"/>
            <w:shd w:fill="1F4E79"/>
          </w:tcPr>
          <w:p>
            <w:pPr>
              <w:spacing w:after="0"/>
            </w:pPr>
            <w:r/>
            <w:r>
              <w:rPr>
                <w:rFonts w:ascii="Arial" w:hAnsi="Arial"/>
                <w:b/>
                <w:color w:val="FFFFFF"/>
                <w:sz w:val="18"/>
              </w:rPr>
              <w:t>Median time at N=4096</w:t>
            </w:r>
          </w:p>
        </w:tc>
        <w:tc>
          <w:tcPr>
            <w:tcW w:type="dxa" w:w="2469"/>
            <w:vAlign w:val="center"/>
            <w:shd w:fill="1F4E79"/>
          </w:tcPr>
          <w:p>
            <w:pPr>
              <w:spacing w:after="0"/>
            </w:pPr>
            <w:r/>
            <w:r>
              <w:rPr>
                <w:rFonts w:ascii="Arial" w:hAnsi="Arial"/>
                <w:b/>
                <w:color w:val="FFFFFF"/>
                <w:sz w:val="18"/>
              </w:rPr>
              <w:t>Speedup</w:t>
            </w:r>
          </w:p>
        </w:tc>
        <w:tc>
          <w:tcPr>
            <w:tcW w:type="dxa" w:w="2469"/>
            <w:vAlign w:val="center"/>
            <w:shd w:fill="1F4E79"/>
          </w:tcPr>
          <w:p>
            <w:pPr>
              <w:spacing w:after="0"/>
            </w:pPr>
            <w:r/>
            <w:r>
              <w:rPr>
                <w:rFonts w:ascii="Arial" w:hAnsi="Arial"/>
                <w:b/>
                <w:color w:val="FFFFFF"/>
                <w:sz w:val="18"/>
              </w:rPr>
              <w:t>Parallel efficiency</w:t>
            </w:r>
          </w:p>
        </w:tc>
      </w:tr>
      <w:tr>
        <w:tc>
          <w:tcPr>
            <w:tcW w:type="dxa" w:w="2469"/>
            <w:vAlign w:val="center"/>
          </w:tcPr>
          <w:p>
            <w:pPr>
              <w:spacing w:after="0"/>
            </w:pPr>
            <w:r/>
            <w:r>
              <w:rPr>
                <w:rFonts w:ascii="Arial" w:hAnsi="Arial"/>
                <w:b w:val="0"/>
                <w:sz w:val="18"/>
              </w:rPr>
              <w:t>1</w:t>
            </w:r>
          </w:p>
        </w:tc>
        <w:tc>
          <w:tcPr>
            <w:tcW w:type="dxa" w:w="2469"/>
            <w:vAlign w:val="center"/>
          </w:tcPr>
          <w:p>
            <w:pPr>
              <w:spacing w:after="0"/>
            </w:pPr>
            <w:r/>
            <w:r>
              <w:rPr>
                <w:rFonts w:ascii="Arial" w:hAnsi="Arial"/>
                <w:b w:val="0"/>
                <w:sz w:val="18"/>
              </w:rPr>
              <w:t>914.491 ms</w:t>
            </w:r>
          </w:p>
        </w:tc>
        <w:tc>
          <w:tcPr>
            <w:tcW w:type="dxa" w:w="2469"/>
            <w:vAlign w:val="center"/>
          </w:tcPr>
          <w:p>
            <w:pPr>
              <w:spacing w:after="0"/>
            </w:pPr>
            <w:r/>
            <w:r>
              <w:rPr>
                <w:rFonts w:ascii="Arial" w:hAnsi="Arial"/>
                <w:b w:val="0"/>
                <w:sz w:val="18"/>
              </w:rPr>
              <w:t>1.000×</w:t>
            </w:r>
          </w:p>
        </w:tc>
        <w:tc>
          <w:tcPr>
            <w:tcW w:type="dxa" w:w="2469"/>
            <w:vAlign w:val="center"/>
          </w:tcPr>
          <w:p>
            <w:pPr>
              <w:spacing w:after="0"/>
            </w:pPr>
            <w:r/>
            <w:r>
              <w:rPr>
                <w:rFonts w:ascii="Arial" w:hAnsi="Arial"/>
                <w:b w:val="0"/>
                <w:sz w:val="18"/>
              </w:rPr>
              <w:t>100.0%</w:t>
            </w:r>
          </w:p>
        </w:tc>
      </w:tr>
      <w:tr>
        <w:tc>
          <w:tcPr>
            <w:tcW w:type="dxa" w:w="2469"/>
            <w:vAlign w:val="center"/>
            <w:shd w:fill="F3F6F9"/>
          </w:tcPr>
          <w:p>
            <w:pPr>
              <w:spacing w:after="0"/>
            </w:pPr>
            <w:r/>
            <w:r>
              <w:rPr>
                <w:rFonts w:ascii="Arial" w:hAnsi="Arial"/>
                <w:b w:val="0"/>
                <w:sz w:val="18"/>
              </w:rPr>
              <w:t>2</w:t>
            </w:r>
          </w:p>
        </w:tc>
        <w:tc>
          <w:tcPr>
            <w:tcW w:type="dxa" w:w="2469"/>
            <w:vAlign w:val="center"/>
            <w:shd w:fill="F3F6F9"/>
          </w:tcPr>
          <w:p>
            <w:pPr>
              <w:spacing w:after="0"/>
            </w:pPr>
            <w:r/>
            <w:r>
              <w:rPr>
                <w:rFonts w:ascii="Arial" w:hAnsi="Arial"/>
                <w:b w:val="0"/>
                <w:sz w:val="18"/>
              </w:rPr>
              <w:t>450.942 ms</w:t>
            </w:r>
          </w:p>
        </w:tc>
        <w:tc>
          <w:tcPr>
            <w:tcW w:type="dxa" w:w="2469"/>
            <w:vAlign w:val="center"/>
            <w:shd w:fill="F3F6F9"/>
          </w:tcPr>
          <w:p>
            <w:pPr>
              <w:spacing w:after="0"/>
            </w:pPr>
            <w:r/>
            <w:r>
              <w:rPr>
                <w:rFonts w:ascii="Arial" w:hAnsi="Arial"/>
                <w:b w:val="0"/>
                <w:sz w:val="18"/>
              </w:rPr>
              <w:t>2.028×</w:t>
            </w:r>
          </w:p>
        </w:tc>
        <w:tc>
          <w:tcPr>
            <w:tcW w:type="dxa" w:w="2469"/>
            <w:vAlign w:val="center"/>
            <w:shd w:fill="F3F6F9"/>
          </w:tcPr>
          <w:p>
            <w:pPr>
              <w:spacing w:after="0"/>
            </w:pPr>
            <w:r/>
            <w:r>
              <w:rPr>
                <w:rFonts w:ascii="Arial" w:hAnsi="Arial"/>
                <w:b w:val="0"/>
                <w:sz w:val="18"/>
              </w:rPr>
              <w:t>101.4%</w:t>
            </w:r>
          </w:p>
        </w:tc>
      </w:tr>
      <w:tr>
        <w:tc>
          <w:tcPr>
            <w:tcW w:type="dxa" w:w="2469"/>
            <w:vAlign w:val="center"/>
          </w:tcPr>
          <w:p>
            <w:pPr>
              <w:spacing w:after="0"/>
            </w:pPr>
            <w:r/>
            <w:r>
              <w:rPr>
                <w:rFonts w:ascii="Arial" w:hAnsi="Arial"/>
                <w:b w:val="0"/>
                <w:sz w:val="18"/>
              </w:rPr>
              <w:t>4</w:t>
            </w:r>
          </w:p>
        </w:tc>
        <w:tc>
          <w:tcPr>
            <w:tcW w:type="dxa" w:w="2469"/>
            <w:vAlign w:val="center"/>
          </w:tcPr>
          <w:p>
            <w:pPr>
              <w:spacing w:after="0"/>
            </w:pPr>
            <w:r/>
            <w:r>
              <w:rPr>
                <w:rFonts w:ascii="Arial" w:hAnsi="Arial"/>
                <w:b w:val="0"/>
                <w:sz w:val="18"/>
              </w:rPr>
              <w:t>236.177 ms</w:t>
            </w:r>
          </w:p>
        </w:tc>
        <w:tc>
          <w:tcPr>
            <w:tcW w:type="dxa" w:w="2469"/>
            <w:vAlign w:val="center"/>
          </w:tcPr>
          <w:p>
            <w:pPr>
              <w:spacing w:after="0"/>
            </w:pPr>
            <w:r/>
            <w:r>
              <w:rPr>
                <w:rFonts w:ascii="Arial" w:hAnsi="Arial"/>
                <w:b w:val="0"/>
                <w:sz w:val="18"/>
              </w:rPr>
              <w:t>3.872×</w:t>
            </w:r>
          </w:p>
        </w:tc>
        <w:tc>
          <w:tcPr>
            <w:tcW w:type="dxa" w:w="2469"/>
            <w:vAlign w:val="center"/>
          </w:tcPr>
          <w:p>
            <w:pPr>
              <w:spacing w:after="0"/>
            </w:pPr>
            <w:r/>
            <w:r>
              <w:rPr>
                <w:rFonts w:ascii="Arial" w:hAnsi="Arial"/>
                <w:b w:val="0"/>
                <w:sz w:val="18"/>
              </w:rPr>
              <w:t>96.8%</w:t>
            </w:r>
          </w:p>
        </w:tc>
      </w:tr>
      <w:tr>
        <w:tc>
          <w:tcPr>
            <w:tcW w:type="dxa" w:w="2469"/>
            <w:vAlign w:val="center"/>
            <w:shd w:fill="F3F6F9"/>
          </w:tcPr>
          <w:p>
            <w:pPr>
              <w:spacing w:after="0"/>
            </w:pPr>
            <w:r/>
            <w:r>
              <w:rPr>
                <w:rFonts w:ascii="Arial" w:hAnsi="Arial"/>
                <w:b w:val="0"/>
                <w:sz w:val="18"/>
              </w:rPr>
              <w:t>8</w:t>
            </w:r>
          </w:p>
        </w:tc>
        <w:tc>
          <w:tcPr>
            <w:tcW w:type="dxa" w:w="2469"/>
            <w:vAlign w:val="center"/>
            <w:shd w:fill="F3F6F9"/>
          </w:tcPr>
          <w:p>
            <w:pPr>
              <w:spacing w:after="0"/>
            </w:pPr>
            <w:r/>
            <w:r>
              <w:rPr>
                <w:rFonts w:ascii="Arial" w:hAnsi="Arial"/>
                <w:b w:val="0"/>
                <w:sz w:val="18"/>
              </w:rPr>
              <w:t>142.854 ms</w:t>
            </w:r>
          </w:p>
        </w:tc>
        <w:tc>
          <w:tcPr>
            <w:tcW w:type="dxa" w:w="2469"/>
            <w:vAlign w:val="center"/>
            <w:shd w:fill="F3F6F9"/>
          </w:tcPr>
          <w:p>
            <w:pPr>
              <w:spacing w:after="0"/>
            </w:pPr>
            <w:r/>
            <w:r>
              <w:rPr>
                <w:rFonts w:ascii="Arial" w:hAnsi="Arial"/>
                <w:b w:val="0"/>
                <w:sz w:val="18"/>
              </w:rPr>
              <w:t>6.402×</w:t>
            </w:r>
          </w:p>
        </w:tc>
        <w:tc>
          <w:tcPr>
            <w:tcW w:type="dxa" w:w="2469"/>
            <w:vAlign w:val="center"/>
            <w:shd w:fill="F3F6F9"/>
          </w:tcPr>
          <w:p>
            <w:pPr>
              <w:spacing w:after="0"/>
            </w:pPr>
            <w:r/>
            <w:r>
              <w:rPr>
                <w:rFonts w:ascii="Arial" w:hAnsi="Arial"/>
                <w:b w:val="0"/>
                <w:sz w:val="18"/>
              </w:rPr>
              <w:t>80.0%</w:t>
            </w:r>
          </w:p>
        </w:tc>
      </w:tr>
    </w:tbl>
    <w:p>
      <w:pPr>
        <w:spacing w:after="20"/>
      </w:pPr>
    </w:p>
    <w:p>
      <w:pPr>
        <w:spacing w:before="0" w:after="120"/>
        <w:jc w:val="center"/>
      </w:pPr>
      <w:r>
        <w:rPr>
          <w:i/>
          <w:color w:val="444444"/>
          <w:sz w:val="18"/>
        </w:rPr>
        <w:t>Table 3. OpenMP scaling and derived speedup/efficiency at N=4096, d=dv=64.</w:t>
      </w:r>
    </w:p>
    <w:p>
      <w:r>
        <w:t>The measured speedup at eight threads is about 6.40×, corresponding to approximately 80.0% parallel efficiency. Measurements above eight threads are not yet available; the requested Vanda range up to 72 threads is reserved for follow-up runs.</w:t>
      </w:r>
    </w:p>
    <w:p>
      <w:pPr>
        <w:pStyle w:val="Heading2"/>
      </w:pPr>
      <w:r>
        <w:t>4.4 Local RTX 4090 results and transfer timing</w:t>
      </w:r>
    </w:p>
    <w:p>
      <w:r>
        <w:t>The local RTX 4090 tests provide direct evidence for the single-GPU CUDA path. The timing output separates input upload from GPU compute; the values below are the recorded sample corresponding to the reported median for repeated tests.</w:t>
      </w:r>
    </w:p>
    <w:tbl>
      <w:tblPr>
        <w:tblStyle w:val="TableGrid"/>
        <w:tblW w:type="auto" w:w="0"/>
        <w:jc w:val="center"/>
        <w:tblLayout w:type="autofit"/>
        <w:tblLook w:firstColumn="1" w:firstRow="1" w:lastColumn="0" w:lastRow="0" w:noHBand="0" w:noVBand="1" w:val="04A0"/>
      </w:tblPr>
      <w:tblGrid>
        <w:gridCol w:w="1976"/>
        <w:gridCol w:w="1976"/>
        <w:gridCol w:w="1976"/>
        <w:gridCol w:w="1976"/>
        <w:gridCol w:w="1976"/>
      </w:tblGrid>
      <w:tr>
        <w:trPr>
          <w:tblHeader w:val="true"/>
        </w:trPr>
        <w:tc>
          <w:tcPr>
            <w:tcW w:type="dxa" w:w="1976"/>
            <w:vAlign w:val="center"/>
            <w:shd w:fill="1F4E79"/>
          </w:tcPr>
          <w:p>
            <w:pPr>
              <w:spacing w:after="0"/>
            </w:pPr>
            <w:r/>
            <w:r>
              <w:rPr>
                <w:rFonts w:ascii="Arial" w:hAnsi="Arial"/>
                <w:b/>
                <w:color w:val="FFFFFF"/>
                <w:sz w:val="17"/>
              </w:rPr>
              <w:t>N / mode</w:t>
            </w:r>
          </w:p>
        </w:tc>
        <w:tc>
          <w:tcPr>
            <w:tcW w:type="dxa" w:w="1976"/>
            <w:vAlign w:val="center"/>
            <w:shd w:fill="1F4E79"/>
          </w:tcPr>
          <w:p>
            <w:pPr>
              <w:spacing w:after="0"/>
            </w:pPr>
            <w:r/>
            <w:r>
              <w:rPr>
                <w:rFonts w:ascii="Arial" w:hAnsi="Arial"/>
                <w:b/>
                <w:color w:val="FFFFFF"/>
                <w:sz w:val="17"/>
              </w:rPr>
              <w:t>Total time</w:t>
            </w:r>
          </w:p>
        </w:tc>
        <w:tc>
          <w:tcPr>
            <w:tcW w:type="dxa" w:w="1976"/>
            <w:vAlign w:val="center"/>
            <w:shd w:fill="1F4E79"/>
          </w:tcPr>
          <w:p>
            <w:pPr>
              <w:spacing w:after="0"/>
            </w:pPr>
            <w:r/>
            <w:r>
              <w:rPr>
                <w:rFonts w:ascii="Arial" w:hAnsi="Arial"/>
                <w:b/>
                <w:color w:val="FFFFFF"/>
                <w:sz w:val="17"/>
              </w:rPr>
              <w:t>max_upload_ms</w:t>
            </w:r>
          </w:p>
        </w:tc>
        <w:tc>
          <w:tcPr>
            <w:tcW w:type="dxa" w:w="1976"/>
            <w:vAlign w:val="center"/>
            <w:shd w:fill="1F4E79"/>
          </w:tcPr>
          <w:p>
            <w:pPr>
              <w:spacing w:after="0"/>
            </w:pPr>
            <w:r/>
            <w:r>
              <w:rPr>
                <w:rFonts w:ascii="Arial" w:hAnsi="Arial"/>
                <w:b/>
                <w:color w:val="FFFFFF"/>
                <w:sz w:val="17"/>
              </w:rPr>
              <w:t>max_compute_ms</w:t>
            </w:r>
          </w:p>
        </w:tc>
        <w:tc>
          <w:tcPr>
            <w:tcW w:type="dxa" w:w="1976"/>
            <w:vAlign w:val="center"/>
            <w:shd w:fill="1F4E79"/>
          </w:tcPr>
          <w:p>
            <w:pPr>
              <w:spacing w:after="0"/>
            </w:pPr>
            <w:r/>
            <w:r>
              <w:rPr>
                <w:rFonts w:ascii="Arial" w:hAnsi="Arial"/>
                <w:b/>
                <w:color w:val="FFFFFF"/>
                <w:sz w:val="17"/>
              </w:rPr>
              <w:t>Validation</w:t>
            </w:r>
          </w:p>
        </w:tc>
      </w:tr>
      <w:tr>
        <w:tc>
          <w:tcPr>
            <w:tcW w:type="dxa" w:w="1976"/>
            <w:vAlign w:val="center"/>
          </w:tcPr>
          <w:p>
            <w:pPr>
              <w:spacing w:after="0"/>
            </w:pPr>
            <w:r/>
            <w:r>
              <w:rPr>
                <w:rFonts w:ascii="Arial" w:hAnsi="Arial"/>
                <w:b w:val="0"/>
                <w:sz w:val="17"/>
              </w:rPr>
              <w:t>257, full</w:t>
            </w:r>
          </w:p>
        </w:tc>
        <w:tc>
          <w:tcPr>
            <w:tcW w:type="dxa" w:w="1976"/>
            <w:vAlign w:val="center"/>
          </w:tcPr>
          <w:p>
            <w:pPr>
              <w:spacing w:after="0"/>
            </w:pPr>
            <w:r/>
            <w:r>
              <w:rPr>
                <w:rFonts w:ascii="Arial" w:hAnsi="Arial"/>
                <w:b w:val="0"/>
                <w:sz w:val="17"/>
              </w:rPr>
              <w:t>0.609 ms</w:t>
            </w:r>
          </w:p>
        </w:tc>
        <w:tc>
          <w:tcPr>
            <w:tcW w:type="dxa" w:w="1976"/>
            <w:vAlign w:val="center"/>
          </w:tcPr>
          <w:p>
            <w:pPr>
              <w:spacing w:after="0"/>
            </w:pPr>
            <w:r/>
            <w:r>
              <w:rPr>
                <w:rFonts w:ascii="Arial" w:hAnsi="Arial"/>
                <w:b w:val="0"/>
                <w:sz w:val="17"/>
              </w:rPr>
              <w:t>0.0132 ms</w:t>
            </w:r>
          </w:p>
        </w:tc>
        <w:tc>
          <w:tcPr>
            <w:tcW w:type="dxa" w:w="1976"/>
            <w:vAlign w:val="center"/>
          </w:tcPr>
          <w:p>
            <w:pPr>
              <w:spacing w:after="0"/>
            </w:pPr>
            <w:r/>
            <w:r>
              <w:rPr>
                <w:rFonts w:ascii="Arial" w:hAnsi="Arial"/>
                <w:b w:val="0"/>
                <w:sz w:val="17"/>
              </w:rPr>
              <w:t>0.5770 ms</w:t>
            </w:r>
          </w:p>
        </w:tc>
        <w:tc>
          <w:tcPr>
            <w:tcW w:type="dxa" w:w="1976"/>
            <w:vAlign w:val="center"/>
          </w:tcPr>
          <w:p>
            <w:pPr>
              <w:spacing w:after="0"/>
            </w:pPr>
            <w:r/>
            <w:r>
              <w:rPr>
                <w:rFonts w:ascii="Arial" w:hAnsi="Arial"/>
                <w:b w:val="0"/>
                <w:sz w:val="17"/>
              </w:rPr>
              <w:t>PASS</w:t>
            </w:r>
          </w:p>
        </w:tc>
      </w:tr>
      <w:tr>
        <w:tc>
          <w:tcPr>
            <w:tcW w:type="dxa" w:w="1976"/>
            <w:vAlign w:val="center"/>
            <w:shd w:fill="F3F6F9"/>
          </w:tcPr>
          <w:p>
            <w:pPr>
              <w:spacing w:after="0"/>
            </w:pPr>
            <w:r/>
            <w:r>
              <w:rPr>
                <w:rFonts w:ascii="Arial" w:hAnsi="Arial"/>
                <w:b w:val="0"/>
                <w:sz w:val="17"/>
              </w:rPr>
              <w:t>257, causal</w:t>
            </w:r>
          </w:p>
        </w:tc>
        <w:tc>
          <w:tcPr>
            <w:tcW w:type="dxa" w:w="1976"/>
            <w:vAlign w:val="center"/>
            <w:shd w:fill="F3F6F9"/>
          </w:tcPr>
          <w:p>
            <w:pPr>
              <w:spacing w:after="0"/>
            </w:pPr>
            <w:r/>
            <w:r>
              <w:rPr>
                <w:rFonts w:ascii="Arial" w:hAnsi="Arial"/>
                <w:b w:val="0"/>
                <w:sz w:val="17"/>
              </w:rPr>
              <w:t>0.589 ms</w:t>
            </w:r>
          </w:p>
        </w:tc>
        <w:tc>
          <w:tcPr>
            <w:tcW w:type="dxa" w:w="1976"/>
            <w:vAlign w:val="center"/>
            <w:shd w:fill="F3F6F9"/>
          </w:tcPr>
          <w:p>
            <w:pPr>
              <w:spacing w:after="0"/>
            </w:pPr>
            <w:r/>
            <w:r>
              <w:rPr>
                <w:rFonts w:ascii="Arial" w:hAnsi="Arial"/>
                <w:b w:val="0"/>
                <w:sz w:val="17"/>
              </w:rPr>
              <w:t>0.0151 ms</w:t>
            </w:r>
          </w:p>
        </w:tc>
        <w:tc>
          <w:tcPr>
            <w:tcW w:type="dxa" w:w="1976"/>
            <w:vAlign w:val="center"/>
            <w:shd w:fill="F3F6F9"/>
          </w:tcPr>
          <w:p>
            <w:pPr>
              <w:spacing w:after="0"/>
            </w:pPr>
            <w:r/>
            <w:r>
              <w:rPr>
                <w:rFonts w:ascii="Arial" w:hAnsi="Arial"/>
                <w:b w:val="0"/>
                <w:sz w:val="17"/>
              </w:rPr>
              <w:t>0.5522 ms</w:t>
            </w:r>
          </w:p>
        </w:tc>
        <w:tc>
          <w:tcPr>
            <w:tcW w:type="dxa" w:w="1976"/>
            <w:vAlign w:val="center"/>
            <w:shd w:fill="F3F6F9"/>
          </w:tcPr>
          <w:p>
            <w:pPr>
              <w:spacing w:after="0"/>
            </w:pPr>
            <w:r/>
            <w:r>
              <w:rPr>
                <w:rFonts w:ascii="Arial" w:hAnsi="Arial"/>
                <w:b w:val="0"/>
                <w:sz w:val="17"/>
              </w:rPr>
              <w:t>PASS</w:t>
            </w:r>
          </w:p>
        </w:tc>
      </w:tr>
      <w:tr>
        <w:tc>
          <w:tcPr>
            <w:tcW w:type="dxa" w:w="1976"/>
            <w:vAlign w:val="center"/>
          </w:tcPr>
          <w:p>
            <w:pPr>
              <w:spacing w:after="0"/>
            </w:pPr>
            <w:r/>
            <w:r>
              <w:rPr>
                <w:rFonts w:ascii="Arial" w:hAnsi="Arial"/>
                <w:b w:val="0"/>
                <w:sz w:val="17"/>
              </w:rPr>
              <w:t>1024, full (5 runs)</w:t>
            </w:r>
          </w:p>
        </w:tc>
        <w:tc>
          <w:tcPr>
            <w:tcW w:type="dxa" w:w="1976"/>
            <w:vAlign w:val="center"/>
          </w:tcPr>
          <w:p>
            <w:pPr>
              <w:spacing w:after="0"/>
            </w:pPr>
            <w:r/>
            <w:r>
              <w:rPr>
                <w:rFonts w:ascii="Arial" w:hAnsi="Arial"/>
                <w:b w:val="0"/>
                <w:sz w:val="17"/>
              </w:rPr>
              <w:t>0.718 ms</w:t>
            </w:r>
          </w:p>
        </w:tc>
        <w:tc>
          <w:tcPr>
            <w:tcW w:type="dxa" w:w="1976"/>
            <w:vAlign w:val="center"/>
          </w:tcPr>
          <w:p>
            <w:pPr>
              <w:spacing w:after="0"/>
            </w:pPr>
            <w:r/>
            <w:r>
              <w:rPr>
                <w:rFonts w:ascii="Arial" w:hAnsi="Arial"/>
                <w:b w:val="0"/>
                <w:sz w:val="17"/>
              </w:rPr>
              <w:t>0.0343 ms</w:t>
            </w:r>
          </w:p>
        </w:tc>
        <w:tc>
          <w:tcPr>
            <w:tcW w:type="dxa" w:w="1976"/>
            <w:vAlign w:val="center"/>
          </w:tcPr>
          <w:p>
            <w:pPr>
              <w:spacing w:after="0"/>
            </w:pPr>
            <w:r/>
            <w:r>
              <w:rPr>
                <w:rFonts w:ascii="Arial" w:hAnsi="Arial"/>
                <w:b w:val="0"/>
                <w:sz w:val="17"/>
              </w:rPr>
              <w:t>0.6688 ms</w:t>
            </w:r>
          </w:p>
        </w:tc>
        <w:tc>
          <w:tcPr>
            <w:tcW w:type="dxa" w:w="1976"/>
            <w:vAlign w:val="center"/>
          </w:tcPr>
          <w:p>
            <w:pPr>
              <w:spacing w:after="0"/>
            </w:pPr>
            <w:r/>
            <w:r>
              <w:rPr>
                <w:rFonts w:ascii="Arial" w:hAnsi="Arial"/>
                <w:b w:val="0"/>
                <w:sz w:val="17"/>
              </w:rPr>
              <w:t>PASS</w:t>
            </w:r>
          </w:p>
        </w:tc>
      </w:tr>
      <w:tr>
        <w:tc>
          <w:tcPr>
            <w:tcW w:type="dxa" w:w="1976"/>
            <w:vAlign w:val="center"/>
            <w:shd w:fill="F3F6F9"/>
          </w:tcPr>
          <w:p>
            <w:pPr>
              <w:spacing w:after="0"/>
            </w:pPr>
            <w:r/>
            <w:r>
              <w:rPr>
                <w:rFonts w:ascii="Arial" w:hAnsi="Arial"/>
                <w:b w:val="0"/>
                <w:sz w:val="17"/>
              </w:rPr>
              <w:t>4096, full (5 runs)</w:t>
            </w:r>
          </w:p>
        </w:tc>
        <w:tc>
          <w:tcPr>
            <w:tcW w:type="dxa" w:w="1976"/>
            <w:vAlign w:val="center"/>
            <w:shd w:fill="F3F6F9"/>
          </w:tcPr>
          <w:p>
            <w:pPr>
              <w:spacing w:after="0"/>
            </w:pPr>
            <w:r/>
            <w:r>
              <w:rPr>
                <w:rFonts w:ascii="Arial" w:hAnsi="Arial"/>
                <w:b w:val="0"/>
                <w:sz w:val="17"/>
              </w:rPr>
              <w:t>8.044 ms</w:t>
            </w:r>
          </w:p>
        </w:tc>
        <w:tc>
          <w:tcPr>
            <w:tcW w:type="dxa" w:w="1976"/>
            <w:vAlign w:val="center"/>
            <w:shd w:fill="F3F6F9"/>
          </w:tcPr>
          <w:p>
            <w:pPr>
              <w:spacing w:after="0"/>
            </w:pPr>
            <w:r/>
            <w:r>
              <w:rPr>
                <w:rFonts w:ascii="Arial" w:hAnsi="Arial"/>
                <w:b w:val="0"/>
                <w:sz w:val="17"/>
              </w:rPr>
              <w:t>0.0853 ms</w:t>
            </w:r>
          </w:p>
        </w:tc>
        <w:tc>
          <w:tcPr>
            <w:tcW w:type="dxa" w:w="1976"/>
            <w:vAlign w:val="center"/>
            <w:shd w:fill="F3F6F9"/>
          </w:tcPr>
          <w:p>
            <w:pPr>
              <w:spacing w:after="0"/>
            </w:pPr>
            <w:r/>
            <w:r>
              <w:rPr>
                <w:rFonts w:ascii="Arial" w:hAnsi="Arial"/>
                <w:b w:val="0"/>
                <w:sz w:val="17"/>
              </w:rPr>
              <w:t>7.9444 ms</w:t>
            </w:r>
          </w:p>
        </w:tc>
        <w:tc>
          <w:tcPr>
            <w:tcW w:type="dxa" w:w="1976"/>
            <w:vAlign w:val="center"/>
            <w:shd w:fill="F3F6F9"/>
          </w:tcPr>
          <w:p>
            <w:pPr>
              <w:spacing w:after="0"/>
            </w:pPr>
            <w:r/>
            <w:r>
              <w:rPr>
                <w:rFonts w:ascii="Arial" w:hAnsi="Arial"/>
                <w:b w:val="0"/>
                <w:sz w:val="17"/>
              </w:rPr>
              <w:t>PASS</w:t>
            </w:r>
          </w:p>
        </w:tc>
      </w:tr>
    </w:tbl>
    <w:p>
      <w:pPr>
        <w:spacing w:after="20"/>
      </w:pPr>
    </w:p>
    <w:p>
      <w:pPr>
        <w:spacing w:before="0" w:after="120"/>
        <w:jc w:val="center"/>
      </w:pPr>
      <w:r>
        <w:rPr>
          <w:i/>
          <w:color w:val="444444"/>
          <w:sz w:val="18"/>
        </w:rPr>
        <w:t>Table 4. Local RTX 4090 runtime breakdown from the CUDA run output.</w:t>
      </w:r>
    </w:p>
    <w:p>
      <w:r>
        <w:t>These measurements report input upload and compute stages; they do not constitute a complete host-to-device plus device-to-host transfer study. A separate output-copy measurement and a comparable per-stage Vanda MPI breakdown remain to be collected.</w:t>
      </w:r>
    </w:p>
    <w:p>
      <w:pPr>
        <w:pStyle w:val="Heading2"/>
      </w:pPr>
      <w:r>
        <w:t>4.5 Weak scaling and communication overhead</w:t>
      </w:r>
    </w:p>
    <w:p>
      <w:r>
        <w:t>For attention with fixed feature dimensions, increasing N by approximately √2 while increasing GPU count from one to two is intended to keep the arithmetic work per GPU roughly constant. The observed two-node runtimes are higher than the one-GPU runtimes, especially at smaller inputs; therefore the current data do not support describing runtime as constant.</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tblHeader w:val="true"/>
        </w:trPr>
        <w:tc>
          <w:tcPr>
            <w:tcW w:type="dxa" w:w="2469"/>
            <w:vAlign w:val="center"/>
            <w:shd w:fill="1F4E79"/>
          </w:tcPr>
          <w:p>
            <w:pPr>
              <w:spacing w:after="0"/>
            </w:pPr>
            <w:r/>
            <w:r>
              <w:rPr>
                <w:rFonts w:ascii="Arial" w:hAnsi="Arial"/>
                <w:b/>
                <w:color w:val="FFFFFF"/>
                <w:sz w:val="16"/>
              </w:rPr>
              <w:t>One GPU: N / time</w:t>
            </w:r>
          </w:p>
        </w:tc>
        <w:tc>
          <w:tcPr>
            <w:tcW w:type="dxa" w:w="2469"/>
            <w:vAlign w:val="center"/>
            <w:shd w:fill="1F4E79"/>
          </w:tcPr>
          <w:p>
            <w:pPr>
              <w:spacing w:after="0"/>
            </w:pPr>
            <w:r/>
            <w:r>
              <w:rPr>
                <w:rFonts w:ascii="Arial" w:hAnsi="Arial"/>
                <w:b/>
                <w:color w:val="FFFFFF"/>
                <w:sz w:val="16"/>
              </w:rPr>
              <w:t>Two nodes: N / time</w:t>
            </w:r>
          </w:p>
        </w:tc>
        <w:tc>
          <w:tcPr>
            <w:tcW w:type="dxa" w:w="2469"/>
            <w:vAlign w:val="center"/>
            <w:shd w:fill="1F4E79"/>
          </w:tcPr>
          <w:p>
            <w:pPr>
              <w:spacing w:after="0"/>
            </w:pPr>
            <w:r/>
            <w:r>
              <w:rPr>
                <w:rFonts w:ascii="Arial" w:hAnsi="Arial"/>
                <w:b/>
                <w:color w:val="FFFFFF"/>
                <w:sz w:val="16"/>
              </w:rPr>
              <w:t>Two-node / one-GPU time</w:t>
            </w:r>
          </w:p>
        </w:tc>
        <w:tc>
          <w:tcPr>
            <w:tcW w:type="dxa" w:w="2469"/>
            <w:vAlign w:val="center"/>
            <w:shd w:fill="1F4E79"/>
          </w:tcPr>
          <w:p>
            <w:pPr>
              <w:spacing w:after="0"/>
            </w:pPr>
            <w:r/>
            <w:r>
              <w:rPr>
                <w:rFonts w:ascii="Arial" w:hAnsi="Arial"/>
                <w:b/>
                <w:color w:val="FFFFFF"/>
                <w:sz w:val="16"/>
              </w:rPr>
              <w:t>Interpretation</w:t>
            </w:r>
          </w:p>
        </w:tc>
      </w:tr>
      <w:tr>
        <w:tc>
          <w:tcPr>
            <w:tcW w:type="dxa" w:w="2469"/>
            <w:vAlign w:val="center"/>
          </w:tcPr>
          <w:p>
            <w:pPr>
              <w:spacing w:after="0"/>
            </w:pPr>
            <w:r/>
            <w:r>
              <w:rPr>
                <w:rFonts w:ascii="Arial" w:hAnsi="Arial"/>
                <w:b w:val="0"/>
                <w:sz w:val="16"/>
              </w:rPr>
              <w:t>512 / 0.248 ms</w:t>
            </w:r>
          </w:p>
        </w:tc>
        <w:tc>
          <w:tcPr>
            <w:tcW w:type="dxa" w:w="2469"/>
            <w:vAlign w:val="center"/>
          </w:tcPr>
          <w:p>
            <w:pPr>
              <w:spacing w:after="0"/>
            </w:pPr>
            <w:r/>
            <w:r>
              <w:rPr>
                <w:rFonts w:ascii="Arial" w:hAnsi="Arial"/>
                <w:b w:val="0"/>
                <w:sz w:val="16"/>
              </w:rPr>
              <w:t>724 / 0.708 ms</w:t>
            </w:r>
          </w:p>
        </w:tc>
        <w:tc>
          <w:tcPr>
            <w:tcW w:type="dxa" w:w="2469"/>
            <w:vAlign w:val="center"/>
          </w:tcPr>
          <w:p>
            <w:pPr>
              <w:spacing w:after="0"/>
            </w:pPr>
            <w:r/>
            <w:r>
              <w:rPr>
                <w:rFonts w:ascii="Arial" w:hAnsi="Arial"/>
                <w:b w:val="0"/>
                <w:sz w:val="16"/>
              </w:rPr>
              <w:t>2.85×</w:t>
            </w:r>
          </w:p>
        </w:tc>
        <w:tc>
          <w:tcPr>
            <w:tcW w:type="dxa" w:w="2469"/>
            <w:vAlign w:val="center"/>
          </w:tcPr>
          <w:p>
            <w:pPr>
              <w:spacing w:after="0"/>
            </w:pPr>
            <w:r/>
            <w:r>
              <w:rPr>
                <w:rFonts w:ascii="Arial" w:hAnsi="Arial"/>
                <w:b w:val="0"/>
                <w:sz w:val="16"/>
              </w:rPr>
              <w:t>Runtime rises substantially</w:t>
            </w:r>
          </w:p>
        </w:tc>
      </w:tr>
      <w:tr>
        <w:tc>
          <w:tcPr>
            <w:tcW w:type="dxa" w:w="2469"/>
            <w:vAlign w:val="center"/>
            <w:shd w:fill="F3F6F9"/>
          </w:tcPr>
          <w:p>
            <w:pPr>
              <w:spacing w:after="0"/>
            </w:pPr>
            <w:r/>
            <w:r>
              <w:rPr>
                <w:rFonts w:ascii="Arial" w:hAnsi="Arial"/>
                <w:b w:val="0"/>
                <w:sz w:val="16"/>
              </w:rPr>
              <w:t>1024 / 0.648 ms</w:t>
            </w:r>
          </w:p>
        </w:tc>
        <w:tc>
          <w:tcPr>
            <w:tcW w:type="dxa" w:w="2469"/>
            <w:vAlign w:val="center"/>
            <w:shd w:fill="F3F6F9"/>
          </w:tcPr>
          <w:p>
            <w:pPr>
              <w:spacing w:after="0"/>
            </w:pPr>
            <w:r/>
            <w:r>
              <w:rPr>
                <w:rFonts w:ascii="Arial" w:hAnsi="Arial"/>
                <w:b w:val="0"/>
                <w:sz w:val="16"/>
              </w:rPr>
              <w:t>1448 / 1.263 ms</w:t>
            </w:r>
          </w:p>
        </w:tc>
        <w:tc>
          <w:tcPr>
            <w:tcW w:type="dxa" w:w="2469"/>
            <w:vAlign w:val="center"/>
            <w:shd w:fill="F3F6F9"/>
          </w:tcPr>
          <w:p>
            <w:pPr>
              <w:spacing w:after="0"/>
            </w:pPr>
            <w:r/>
            <w:r>
              <w:rPr>
                <w:rFonts w:ascii="Arial" w:hAnsi="Arial"/>
                <w:b w:val="0"/>
                <w:sz w:val="16"/>
              </w:rPr>
              <w:t>1.95×</w:t>
            </w:r>
          </w:p>
        </w:tc>
        <w:tc>
          <w:tcPr>
            <w:tcW w:type="dxa" w:w="2469"/>
            <w:vAlign w:val="center"/>
            <w:shd w:fill="F3F6F9"/>
          </w:tcPr>
          <w:p>
            <w:pPr>
              <w:spacing w:after="0"/>
            </w:pPr>
            <w:r/>
            <w:r>
              <w:rPr>
                <w:rFonts w:ascii="Arial" w:hAnsi="Arial"/>
                <w:b w:val="0"/>
                <w:sz w:val="16"/>
              </w:rPr>
              <w:t>Gap narrows with larger input</w:t>
            </w:r>
          </w:p>
        </w:tc>
      </w:tr>
      <w:tr>
        <w:tc>
          <w:tcPr>
            <w:tcW w:type="dxa" w:w="2469"/>
            <w:vAlign w:val="center"/>
          </w:tcPr>
          <w:p>
            <w:pPr>
              <w:spacing w:after="0"/>
            </w:pPr>
            <w:r/>
            <w:r>
              <w:rPr>
                <w:rFonts w:ascii="Arial" w:hAnsi="Arial"/>
                <w:b w:val="0"/>
                <w:sz w:val="16"/>
              </w:rPr>
              <w:t>2048 / 2.345 ms</w:t>
            </w:r>
          </w:p>
        </w:tc>
        <w:tc>
          <w:tcPr>
            <w:tcW w:type="dxa" w:w="2469"/>
            <w:vAlign w:val="center"/>
          </w:tcPr>
          <w:p>
            <w:pPr>
              <w:spacing w:after="0"/>
            </w:pPr>
            <w:r/>
            <w:r>
              <w:rPr>
                <w:rFonts w:ascii="Arial" w:hAnsi="Arial"/>
                <w:b w:val="0"/>
                <w:sz w:val="16"/>
              </w:rPr>
              <w:t>2896 / 3.181 ms</w:t>
            </w:r>
          </w:p>
        </w:tc>
        <w:tc>
          <w:tcPr>
            <w:tcW w:type="dxa" w:w="2469"/>
            <w:vAlign w:val="center"/>
          </w:tcPr>
          <w:p>
            <w:pPr>
              <w:spacing w:after="0"/>
            </w:pPr>
            <w:r/>
            <w:r>
              <w:rPr>
                <w:rFonts w:ascii="Arial" w:hAnsi="Arial"/>
                <w:b w:val="0"/>
                <w:sz w:val="16"/>
              </w:rPr>
              <w:t>1.36×</w:t>
            </w:r>
          </w:p>
        </w:tc>
        <w:tc>
          <w:tcPr>
            <w:tcW w:type="dxa" w:w="2469"/>
            <w:vAlign w:val="center"/>
          </w:tcPr>
          <w:p>
            <w:pPr>
              <w:spacing w:after="0"/>
            </w:pPr>
            <w:r/>
            <w:r>
              <w:rPr>
                <w:rFonts w:ascii="Arial" w:hAnsi="Arial"/>
                <w:b w:val="0"/>
                <w:sz w:val="16"/>
              </w:rPr>
              <w:t>Still slower on two nodes</w:t>
            </w:r>
          </w:p>
        </w:tc>
      </w:tr>
      <w:tr>
        <w:tc>
          <w:tcPr>
            <w:tcW w:type="dxa" w:w="2469"/>
            <w:vAlign w:val="center"/>
            <w:shd w:fill="F3F6F9"/>
          </w:tcPr>
          <w:p>
            <w:pPr>
              <w:spacing w:after="0"/>
            </w:pPr>
            <w:r/>
            <w:r>
              <w:rPr>
                <w:rFonts w:ascii="Arial" w:hAnsi="Arial"/>
                <w:b w:val="0"/>
                <w:sz w:val="16"/>
              </w:rPr>
              <w:t>4096 / 8.845 ms</w:t>
            </w:r>
          </w:p>
        </w:tc>
        <w:tc>
          <w:tcPr>
            <w:tcW w:type="dxa" w:w="2469"/>
            <w:vAlign w:val="center"/>
            <w:shd w:fill="F3F6F9"/>
          </w:tcPr>
          <w:p>
            <w:pPr>
              <w:spacing w:after="0"/>
            </w:pPr>
            <w:r/>
            <w:r>
              <w:rPr>
                <w:rFonts w:ascii="Arial" w:hAnsi="Arial"/>
                <w:b w:val="0"/>
                <w:sz w:val="16"/>
              </w:rPr>
              <w:t>5793 / 11.225 ms</w:t>
            </w:r>
          </w:p>
        </w:tc>
        <w:tc>
          <w:tcPr>
            <w:tcW w:type="dxa" w:w="2469"/>
            <w:vAlign w:val="center"/>
            <w:shd w:fill="F3F6F9"/>
          </w:tcPr>
          <w:p>
            <w:pPr>
              <w:spacing w:after="0"/>
            </w:pPr>
            <w:r/>
            <w:r>
              <w:rPr>
                <w:rFonts w:ascii="Arial" w:hAnsi="Arial"/>
                <w:b w:val="0"/>
                <w:sz w:val="16"/>
              </w:rPr>
              <w:t>1.27×</w:t>
            </w:r>
          </w:p>
        </w:tc>
        <w:tc>
          <w:tcPr>
            <w:tcW w:type="dxa" w:w="2469"/>
            <w:vAlign w:val="center"/>
            <w:shd w:fill="F3F6F9"/>
          </w:tcPr>
          <w:p>
            <w:pPr>
              <w:spacing w:after="0"/>
            </w:pPr>
            <w:r/>
            <w:r>
              <w:rPr>
                <w:rFonts w:ascii="Arial" w:hAnsi="Arial"/>
                <w:b w:val="0"/>
                <w:sz w:val="16"/>
              </w:rPr>
              <w:t>Runtime gap narrows further</w:t>
            </w:r>
          </w:p>
        </w:tc>
      </w:tr>
    </w:tbl>
    <w:p>
      <w:pPr>
        <w:spacing w:after="20"/>
      </w:pPr>
    </w:p>
    <w:p>
      <w:pPr>
        <w:spacing w:before="0" w:after="120"/>
        <w:jc w:val="center"/>
      </w:pPr>
      <w:r>
        <w:rPr>
          <w:i/>
          <w:color w:val="444444"/>
          <w:sz w:val="18"/>
        </w:rPr>
        <w:t>Table 5. Existing weak-scaling pairs and observed runtime increase.</w:t>
      </w:r>
    </w:p>
    <w:p>
      <w:r>
        <w:t>The increase cannot be attributed solely to communication from the current aggregate timings. Plausible contributors include host-staged MPI transfers, synchronization between ring steps, MPI startup overhead, and differences between the single-GPU and multi-node execution paths. A follow-up profile should report GPU compute, host-device copies, MPI transfer/wait, and synchronization separately for each rank.</w:t>
      </w:r>
    </w:p>
    <w:p>
      <w:pPr>
        <w:pStyle w:val="Heading2"/>
      </w:pPr>
      <w:r>
        <w:t>4.6 Tile-size results</w:t>
      </w:r>
    </w:p>
    <w:p>
      <w:r>
        <w:t>The following measurements compare Bq and Bk at fixed N. In both tested sequence lengths, the 128 × 256 configuration has the lowest recorded median among the four configurations.</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tblHeader w:val="true"/>
        </w:trPr>
        <w:tc>
          <w:tcPr>
            <w:tcW w:type="dxa" w:w="2469"/>
            <w:vAlign w:val="center"/>
            <w:shd w:fill="1F4E79"/>
          </w:tcPr>
          <w:p>
            <w:pPr>
              <w:spacing w:after="0"/>
            </w:pPr>
            <w:r/>
            <w:r>
              <w:rPr>
                <w:rFonts w:ascii="Arial" w:hAnsi="Arial"/>
                <w:b/>
                <w:color w:val="FFFFFF"/>
                <w:sz w:val="17"/>
              </w:rPr>
              <w:t>N</w:t>
            </w:r>
          </w:p>
        </w:tc>
        <w:tc>
          <w:tcPr>
            <w:tcW w:type="dxa" w:w="2469"/>
            <w:vAlign w:val="center"/>
            <w:shd w:fill="1F4E79"/>
          </w:tcPr>
          <w:p>
            <w:pPr>
              <w:spacing w:after="0"/>
            </w:pPr>
            <w:r/>
            <w:r>
              <w:rPr>
                <w:rFonts w:ascii="Arial" w:hAnsi="Arial"/>
                <w:b/>
                <w:color w:val="FFFFFF"/>
                <w:sz w:val="17"/>
              </w:rPr>
              <w:t>Bq</w:t>
            </w:r>
          </w:p>
        </w:tc>
        <w:tc>
          <w:tcPr>
            <w:tcW w:type="dxa" w:w="2469"/>
            <w:vAlign w:val="center"/>
            <w:shd w:fill="1F4E79"/>
          </w:tcPr>
          <w:p>
            <w:pPr>
              <w:spacing w:after="0"/>
            </w:pPr>
            <w:r/>
            <w:r>
              <w:rPr>
                <w:rFonts w:ascii="Arial" w:hAnsi="Arial"/>
                <w:b/>
                <w:color w:val="FFFFFF"/>
                <w:sz w:val="17"/>
              </w:rPr>
              <w:t>Bk</w:t>
            </w:r>
          </w:p>
        </w:tc>
        <w:tc>
          <w:tcPr>
            <w:tcW w:type="dxa" w:w="2469"/>
            <w:vAlign w:val="center"/>
            <w:shd w:fill="1F4E79"/>
          </w:tcPr>
          <w:p>
            <w:pPr>
              <w:spacing w:after="0"/>
            </w:pPr>
            <w:r/>
            <w:r>
              <w:rPr>
                <w:rFonts w:ascii="Arial" w:hAnsi="Arial"/>
                <w:b/>
                <w:color w:val="FFFFFF"/>
                <w:sz w:val="17"/>
              </w:rPr>
              <w:t>Median time</w:t>
            </w:r>
          </w:p>
        </w:tc>
      </w:tr>
      <w:tr>
        <w:tc>
          <w:tcPr>
            <w:tcW w:type="dxa" w:w="2469"/>
            <w:vAlign w:val="center"/>
          </w:tcPr>
          <w:p>
            <w:pPr>
              <w:spacing w:after="0"/>
            </w:pPr>
            <w:r/>
            <w:r>
              <w:rPr>
                <w:rFonts w:ascii="Arial" w:hAnsi="Arial"/>
                <w:b w:val="0"/>
                <w:sz w:val="17"/>
              </w:rPr>
              <w:t>2048</w:t>
            </w:r>
          </w:p>
        </w:tc>
        <w:tc>
          <w:tcPr>
            <w:tcW w:type="dxa" w:w="2469"/>
            <w:vAlign w:val="center"/>
          </w:tcPr>
          <w:p>
            <w:pPr>
              <w:spacing w:after="0"/>
            </w:pPr>
            <w:r/>
            <w:r>
              <w:rPr>
                <w:rFonts w:ascii="Arial" w:hAnsi="Arial"/>
                <w:b w:val="0"/>
                <w:sz w:val="17"/>
              </w:rPr>
              <w:t>64</w:t>
            </w:r>
          </w:p>
        </w:tc>
        <w:tc>
          <w:tcPr>
            <w:tcW w:type="dxa" w:w="2469"/>
            <w:vAlign w:val="center"/>
          </w:tcPr>
          <w:p>
            <w:pPr>
              <w:spacing w:after="0"/>
            </w:pPr>
            <w:r/>
            <w:r>
              <w:rPr>
                <w:rFonts w:ascii="Arial" w:hAnsi="Arial"/>
                <w:b w:val="0"/>
                <w:sz w:val="17"/>
              </w:rPr>
              <w:t>128</w:t>
            </w:r>
          </w:p>
        </w:tc>
        <w:tc>
          <w:tcPr>
            <w:tcW w:type="dxa" w:w="2469"/>
            <w:vAlign w:val="center"/>
          </w:tcPr>
          <w:p>
            <w:pPr>
              <w:spacing w:after="0"/>
            </w:pPr>
            <w:r/>
            <w:r>
              <w:rPr>
                <w:rFonts w:ascii="Arial" w:hAnsi="Arial"/>
                <w:b w:val="0"/>
                <w:sz w:val="17"/>
              </w:rPr>
              <w:t>4.011 ms</w:t>
            </w:r>
          </w:p>
        </w:tc>
      </w:tr>
      <w:tr>
        <w:tc>
          <w:tcPr>
            <w:tcW w:type="dxa" w:w="2469"/>
            <w:vAlign w:val="center"/>
            <w:shd w:fill="F3F6F9"/>
          </w:tcPr>
          <w:p>
            <w:pPr>
              <w:spacing w:after="0"/>
            </w:pPr>
            <w:r/>
            <w:r>
              <w:rPr>
                <w:rFonts w:ascii="Arial" w:hAnsi="Arial"/>
                <w:b w:val="0"/>
                <w:sz w:val="17"/>
              </w:rPr>
              <w:t>2048</w:t>
            </w:r>
          </w:p>
        </w:tc>
        <w:tc>
          <w:tcPr>
            <w:tcW w:type="dxa" w:w="2469"/>
            <w:vAlign w:val="center"/>
            <w:shd w:fill="F3F6F9"/>
          </w:tcPr>
          <w:p>
            <w:pPr>
              <w:spacing w:after="0"/>
            </w:pPr>
            <w:r/>
            <w:r>
              <w:rPr>
                <w:rFonts w:ascii="Arial" w:hAnsi="Arial"/>
                <w:b w:val="0"/>
                <w:sz w:val="17"/>
              </w:rPr>
              <w:t>64</w:t>
            </w:r>
          </w:p>
        </w:tc>
        <w:tc>
          <w:tcPr>
            <w:tcW w:type="dxa" w:w="2469"/>
            <w:vAlign w:val="center"/>
            <w:shd w:fill="F3F6F9"/>
          </w:tcPr>
          <w:p>
            <w:pPr>
              <w:spacing w:after="0"/>
            </w:pPr>
            <w:r/>
            <w:r>
              <w:rPr>
                <w:rFonts w:ascii="Arial" w:hAnsi="Arial"/>
                <w:b w:val="0"/>
                <w:sz w:val="17"/>
              </w:rPr>
              <w:t>256</w:t>
            </w:r>
          </w:p>
        </w:tc>
        <w:tc>
          <w:tcPr>
            <w:tcW w:type="dxa" w:w="2469"/>
            <w:vAlign w:val="center"/>
            <w:shd w:fill="F3F6F9"/>
          </w:tcPr>
          <w:p>
            <w:pPr>
              <w:spacing w:after="0"/>
            </w:pPr>
            <w:r/>
            <w:r>
              <w:rPr>
                <w:rFonts w:ascii="Arial" w:hAnsi="Arial"/>
                <w:b w:val="0"/>
                <w:sz w:val="17"/>
              </w:rPr>
              <w:t>2.493 ms</w:t>
            </w:r>
          </w:p>
        </w:tc>
      </w:tr>
      <w:tr>
        <w:tc>
          <w:tcPr>
            <w:tcW w:type="dxa" w:w="2469"/>
            <w:vAlign w:val="center"/>
          </w:tcPr>
          <w:p>
            <w:pPr>
              <w:spacing w:after="0"/>
            </w:pPr>
            <w:r/>
            <w:r>
              <w:rPr>
                <w:rFonts w:ascii="Arial" w:hAnsi="Arial"/>
                <w:b w:val="0"/>
                <w:sz w:val="17"/>
              </w:rPr>
              <w:t>2048</w:t>
            </w:r>
          </w:p>
        </w:tc>
        <w:tc>
          <w:tcPr>
            <w:tcW w:type="dxa" w:w="2469"/>
            <w:vAlign w:val="center"/>
          </w:tcPr>
          <w:p>
            <w:pPr>
              <w:spacing w:after="0"/>
            </w:pPr>
            <w:r/>
            <w:r>
              <w:rPr>
                <w:rFonts w:ascii="Arial" w:hAnsi="Arial"/>
                <w:b w:val="0"/>
                <w:sz w:val="17"/>
              </w:rPr>
              <w:t>128</w:t>
            </w:r>
          </w:p>
        </w:tc>
        <w:tc>
          <w:tcPr>
            <w:tcW w:type="dxa" w:w="2469"/>
            <w:vAlign w:val="center"/>
          </w:tcPr>
          <w:p>
            <w:pPr>
              <w:spacing w:after="0"/>
            </w:pPr>
            <w:r/>
            <w:r>
              <w:rPr>
                <w:rFonts w:ascii="Arial" w:hAnsi="Arial"/>
                <w:b w:val="0"/>
                <w:sz w:val="17"/>
              </w:rPr>
              <w:t>128</w:t>
            </w:r>
          </w:p>
        </w:tc>
        <w:tc>
          <w:tcPr>
            <w:tcW w:type="dxa" w:w="2469"/>
            <w:vAlign w:val="center"/>
          </w:tcPr>
          <w:p>
            <w:pPr>
              <w:spacing w:after="0"/>
            </w:pPr>
            <w:r/>
            <w:r>
              <w:rPr>
                <w:rFonts w:ascii="Arial" w:hAnsi="Arial"/>
                <w:b w:val="0"/>
                <w:sz w:val="17"/>
              </w:rPr>
              <w:t>2.288 ms</w:t>
            </w:r>
          </w:p>
        </w:tc>
      </w:tr>
      <w:tr>
        <w:tc>
          <w:tcPr>
            <w:tcW w:type="dxa" w:w="2469"/>
            <w:vAlign w:val="center"/>
            <w:shd w:fill="F3F6F9"/>
          </w:tcPr>
          <w:p>
            <w:pPr>
              <w:spacing w:after="0"/>
            </w:pPr>
            <w:r/>
            <w:r>
              <w:rPr>
                <w:rFonts w:ascii="Arial" w:hAnsi="Arial"/>
                <w:b w:val="0"/>
                <w:sz w:val="17"/>
              </w:rPr>
              <w:t>2048</w:t>
            </w:r>
          </w:p>
        </w:tc>
        <w:tc>
          <w:tcPr>
            <w:tcW w:type="dxa" w:w="2469"/>
            <w:vAlign w:val="center"/>
            <w:shd w:fill="F3F6F9"/>
          </w:tcPr>
          <w:p>
            <w:pPr>
              <w:spacing w:after="0"/>
            </w:pPr>
            <w:r/>
            <w:r>
              <w:rPr>
                <w:rFonts w:ascii="Arial" w:hAnsi="Arial"/>
                <w:b w:val="0"/>
                <w:sz w:val="17"/>
              </w:rPr>
              <w:t>128</w:t>
            </w:r>
          </w:p>
        </w:tc>
        <w:tc>
          <w:tcPr>
            <w:tcW w:type="dxa" w:w="2469"/>
            <w:vAlign w:val="center"/>
            <w:shd w:fill="F3F6F9"/>
          </w:tcPr>
          <w:p>
            <w:pPr>
              <w:spacing w:after="0"/>
            </w:pPr>
            <w:r/>
            <w:r>
              <w:rPr>
                <w:rFonts w:ascii="Arial" w:hAnsi="Arial"/>
                <w:b w:val="0"/>
                <w:sz w:val="17"/>
              </w:rPr>
              <w:t>256</w:t>
            </w:r>
          </w:p>
        </w:tc>
        <w:tc>
          <w:tcPr>
            <w:tcW w:type="dxa" w:w="2469"/>
            <w:vAlign w:val="center"/>
            <w:shd w:fill="F3F6F9"/>
          </w:tcPr>
          <w:p>
            <w:pPr>
              <w:spacing w:after="0"/>
            </w:pPr>
            <w:r/>
            <w:r>
              <w:rPr>
                <w:rFonts w:ascii="Arial" w:hAnsi="Arial"/>
                <w:b w:val="0"/>
                <w:sz w:val="17"/>
              </w:rPr>
              <w:t>1.469 ms</w:t>
            </w:r>
          </w:p>
        </w:tc>
      </w:tr>
      <w:tr>
        <w:tc>
          <w:tcPr>
            <w:tcW w:type="dxa" w:w="2469"/>
            <w:vAlign w:val="center"/>
          </w:tcPr>
          <w:p>
            <w:pPr>
              <w:spacing w:after="0"/>
            </w:pPr>
            <w:r/>
            <w:r>
              <w:rPr>
                <w:rFonts w:ascii="Arial" w:hAnsi="Arial"/>
                <w:b w:val="0"/>
                <w:sz w:val="17"/>
              </w:rPr>
              <w:t>4096</w:t>
            </w:r>
          </w:p>
        </w:tc>
        <w:tc>
          <w:tcPr>
            <w:tcW w:type="dxa" w:w="2469"/>
            <w:vAlign w:val="center"/>
          </w:tcPr>
          <w:p>
            <w:pPr>
              <w:spacing w:after="0"/>
            </w:pPr>
            <w:r/>
            <w:r>
              <w:rPr>
                <w:rFonts w:ascii="Arial" w:hAnsi="Arial"/>
                <w:b w:val="0"/>
                <w:sz w:val="17"/>
              </w:rPr>
              <w:t>64</w:t>
            </w:r>
          </w:p>
        </w:tc>
        <w:tc>
          <w:tcPr>
            <w:tcW w:type="dxa" w:w="2469"/>
            <w:vAlign w:val="center"/>
          </w:tcPr>
          <w:p>
            <w:pPr>
              <w:spacing w:after="0"/>
            </w:pPr>
            <w:r/>
            <w:r>
              <w:rPr>
                <w:rFonts w:ascii="Arial" w:hAnsi="Arial"/>
                <w:b w:val="0"/>
                <w:sz w:val="17"/>
              </w:rPr>
              <w:t>128</w:t>
            </w:r>
          </w:p>
        </w:tc>
        <w:tc>
          <w:tcPr>
            <w:tcW w:type="dxa" w:w="2469"/>
            <w:vAlign w:val="center"/>
          </w:tcPr>
          <w:p>
            <w:pPr>
              <w:spacing w:after="0"/>
            </w:pPr>
            <w:r/>
            <w:r>
              <w:rPr>
                <w:rFonts w:ascii="Arial" w:hAnsi="Arial"/>
                <w:b w:val="0"/>
                <w:sz w:val="17"/>
              </w:rPr>
              <w:t>15.308 ms</w:t>
            </w:r>
          </w:p>
        </w:tc>
      </w:tr>
      <w:tr>
        <w:tc>
          <w:tcPr>
            <w:tcW w:type="dxa" w:w="2469"/>
            <w:vAlign w:val="center"/>
            <w:shd w:fill="F3F6F9"/>
          </w:tcPr>
          <w:p>
            <w:pPr>
              <w:spacing w:after="0"/>
            </w:pPr>
            <w:r/>
            <w:r>
              <w:rPr>
                <w:rFonts w:ascii="Arial" w:hAnsi="Arial"/>
                <w:b w:val="0"/>
                <w:sz w:val="17"/>
              </w:rPr>
              <w:t>4096</w:t>
            </w:r>
          </w:p>
        </w:tc>
        <w:tc>
          <w:tcPr>
            <w:tcW w:type="dxa" w:w="2469"/>
            <w:vAlign w:val="center"/>
            <w:shd w:fill="F3F6F9"/>
          </w:tcPr>
          <w:p>
            <w:pPr>
              <w:spacing w:after="0"/>
            </w:pPr>
            <w:r/>
            <w:r>
              <w:rPr>
                <w:rFonts w:ascii="Arial" w:hAnsi="Arial"/>
                <w:b w:val="0"/>
                <w:sz w:val="17"/>
              </w:rPr>
              <w:t>64</w:t>
            </w:r>
          </w:p>
        </w:tc>
        <w:tc>
          <w:tcPr>
            <w:tcW w:type="dxa" w:w="2469"/>
            <w:vAlign w:val="center"/>
            <w:shd w:fill="F3F6F9"/>
          </w:tcPr>
          <w:p>
            <w:pPr>
              <w:spacing w:after="0"/>
            </w:pPr>
            <w:r/>
            <w:r>
              <w:rPr>
                <w:rFonts w:ascii="Arial" w:hAnsi="Arial"/>
                <w:b w:val="0"/>
                <w:sz w:val="17"/>
              </w:rPr>
              <w:t>256</w:t>
            </w:r>
          </w:p>
        </w:tc>
        <w:tc>
          <w:tcPr>
            <w:tcW w:type="dxa" w:w="2469"/>
            <w:vAlign w:val="center"/>
            <w:shd w:fill="F3F6F9"/>
          </w:tcPr>
          <w:p>
            <w:pPr>
              <w:spacing w:after="0"/>
            </w:pPr>
            <w:r/>
            <w:r>
              <w:rPr>
                <w:rFonts w:ascii="Arial" w:hAnsi="Arial"/>
                <w:b w:val="0"/>
                <w:sz w:val="17"/>
              </w:rPr>
              <w:t>9.361 ms</w:t>
            </w:r>
          </w:p>
        </w:tc>
      </w:tr>
      <w:tr>
        <w:tc>
          <w:tcPr>
            <w:tcW w:type="dxa" w:w="2469"/>
            <w:vAlign w:val="center"/>
          </w:tcPr>
          <w:p>
            <w:pPr>
              <w:spacing w:after="0"/>
            </w:pPr>
            <w:r/>
            <w:r>
              <w:rPr>
                <w:rFonts w:ascii="Arial" w:hAnsi="Arial"/>
                <w:b w:val="0"/>
                <w:sz w:val="17"/>
              </w:rPr>
              <w:t>4096</w:t>
            </w:r>
          </w:p>
        </w:tc>
        <w:tc>
          <w:tcPr>
            <w:tcW w:type="dxa" w:w="2469"/>
            <w:vAlign w:val="center"/>
          </w:tcPr>
          <w:p>
            <w:pPr>
              <w:spacing w:after="0"/>
            </w:pPr>
            <w:r/>
            <w:r>
              <w:rPr>
                <w:rFonts w:ascii="Arial" w:hAnsi="Arial"/>
                <w:b w:val="0"/>
                <w:sz w:val="17"/>
              </w:rPr>
              <w:t>128</w:t>
            </w:r>
          </w:p>
        </w:tc>
        <w:tc>
          <w:tcPr>
            <w:tcW w:type="dxa" w:w="2469"/>
            <w:vAlign w:val="center"/>
          </w:tcPr>
          <w:p>
            <w:pPr>
              <w:spacing w:after="0"/>
            </w:pPr>
            <w:r/>
            <w:r>
              <w:rPr>
                <w:rFonts w:ascii="Arial" w:hAnsi="Arial"/>
                <w:b w:val="0"/>
                <w:sz w:val="17"/>
              </w:rPr>
              <w:t>128</w:t>
            </w:r>
          </w:p>
        </w:tc>
        <w:tc>
          <w:tcPr>
            <w:tcW w:type="dxa" w:w="2469"/>
            <w:vAlign w:val="center"/>
          </w:tcPr>
          <w:p>
            <w:pPr>
              <w:spacing w:after="0"/>
            </w:pPr>
            <w:r/>
            <w:r>
              <w:rPr>
                <w:rFonts w:ascii="Arial" w:hAnsi="Arial"/>
                <w:b w:val="0"/>
                <w:sz w:val="17"/>
              </w:rPr>
              <w:t>8.169 ms</w:t>
            </w:r>
          </w:p>
        </w:tc>
      </w:tr>
      <w:tr>
        <w:tc>
          <w:tcPr>
            <w:tcW w:type="dxa" w:w="2469"/>
            <w:vAlign w:val="center"/>
            <w:shd w:fill="F3F6F9"/>
          </w:tcPr>
          <w:p>
            <w:pPr>
              <w:spacing w:after="0"/>
            </w:pPr>
            <w:r/>
            <w:r>
              <w:rPr>
                <w:rFonts w:ascii="Arial" w:hAnsi="Arial"/>
                <w:b w:val="0"/>
                <w:sz w:val="17"/>
              </w:rPr>
              <w:t>4096</w:t>
            </w:r>
          </w:p>
        </w:tc>
        <w:tc>
          <w:tcPr>
            <w:tcW w:type="dxa" w:w="2469"/>
            <w:vAlign w:val="center"/>
            <w:shd w:fill="F3F6F9"/>
          </w:tcPr>
          <w:p>
            <w:pPr>
              <w:spacing w:after="0"/>
            </w:pPr>
            <w:r/>
            <w:r>
              <w:rPr>
                <w:rFonts w:ascii="Arial" w:hAnsi="Arial"/>
                <w:b w:val="0"/>
                <w:sz w:val="17"/>
              </w:rPr>
              <w:t>128</w:t>
            </w:r>
          </w:p>
        </w:tc>
        <w:tc>
          <w:tcPr>
            <w:tcW w:type="dxa" w:w="2469"/>
            <w:vAlign w:val="center"/>
            <w:shd w:fill="F3F6F9"/>
          </w:tcPr>
          <w:p>
            <w:pPr>
              <w:spacing w:after="0"/>
            </w:pPr>
            <w:r/>
            <w:r>
              <w:rPr>
                <w:rFonts w:ascii="Arial" w:hAnsi="Arial"/>
                <w:b w:val="0"/>
                <w:sz w:val="17"/>
              </w:rPr>
              <w:t>256</w:t>
            </w:r>
          </w:p>
        </w:tc>
        <w:tc>
          <w:tcPr>
            <w:tcW w:type="dxa" w:w="2469"/>
            <w:vAlign w:val="center"/>
            <w:shd w:fill="F3F6F9"/>
          </w:tcPr>
          <w:p>
            <w:pPr>
              <w:spacing w:after="0"/>
            </w:pPr>
            <w:r/>
            <w:r>
              <w:rPr>
                <w:rFonts w:ascii="Arial" w:hAnsi="Arial"/>
                <w:b w:val="0"/>
                <w:sz w:val="17"/>
              </w:rPr>
              <w:t>5.124 ms</w:t>
            </w:r>
          </w:p>
        </w:tc>
      </w:tr>
    </w:tbl>
    <w:p>
      <w:pPr>
        <w:spacing w:after="20"/>
      </w:pPr>
    </w:p>
    <w:p>
      <w:pPr>
        <w:spacing w:before="0" w:after="120"/>
        <w:jc w:val="center"/>
      </w:pPr>
      <w:r>
        <w:rPr>
          <w:i/>
          <w:color w:val="444444"/>
          <w:sz w:val="18"/>
        </w:rPr>
        <w:t>Table 6. Two-node runtime by query and key/value tile size.</w:t>
      </w:r>
    </w:p>
    <w:p>
      <w:r>
        <w:t>Larger tiles reduce the number of loop iterations and can reuse loaded query/key/value data across more arithmetic, which is consistent with the measured improvement. The result is empirical for these configurations; profiling register use, shared-memory use, occupancy, and communication time is needed to isolate the cause and identify the point where larger tiles stop helping.</w:t>
      </w:r>
    </w:p>
    <w:p>
      <w:pPr>
        <w:pStyle w:val="Heading1"/>
      </w:pPr>
      <w:r>
        <w:t>5. Discussion and remaining evaluation</w:t>
      </w:r>
    </w:p>
    <w:p>
      <w:r>
        <w:t>The existing results establish correctness for representative full and causal cases, show approximately quadratic runtime growth in the tested range, and demonstrate that larger tiles were faster in the measured two-node configurations. Several requested comparisons need new measurements; the report does not present them as completed.</w:t>
      </w:r>
    </w:p>
    <w:tbl>
      <w:tblPr>
        <w:tblStyle w:val="TableGrid"/>
        <w:tblW w:type="auto" w:w="0"/>
        <w:jc w:val="center"/>
        <w:tblLayout w:type="autofit"/>
        <w:tblLook w:firstColumn="1" w:firstRow="1" w:lastColumn="0" w:lastRow="0" w:noHBand="0" w:noVBand="1" w:val="04A0"/>
      </w:tblPr>
      <w:tblGrid>
        <w:gridCol w:w="3293"/>
        <w:gridCol w:w="3293"/>
        <w:gridCol w:w="3293"/>
      </w:tblGrid>
      <w:tr>
        <w:trPr>
          <w:tblHeader w:val="true"/>
        </w:trPr>
        <w:tc>
          <w:tcPr>
            <w:tcW w:type="dxa" w:w="3293"/>
            <w:vAlign w:val="center"/>
            <w:shd w:fill="1F4E79"/>
          </w:tcPr>
          <w:p>
            <w:pPr>
              <w:spacing w:after="0"/>
            </w:pPr>
            <w:r/>
            <w:r>
              <w:rPr>
                <w:rFonts w:ascii="Arial" w:hAnsi="Arial"/>
                <w:b/>
                <w:color w:val="FFFFFF"/>
                <w:sz w:val="15"/>
              </w:rPr>
              <w:t>Feedback item</w:t>
            </w:r>
          </w:p>
        </w:tc>
        <w:tc>
          <w:tcPr>
            <w:tcW w:type="dxa" w:w="3293"/>
            <w:vAlign w:val="center"/>
            <w:shd w:fill="1F4E79"/>
          </w:tcPr>
          <w:p>
            <w:pPr>
              <w:spacing w:after="0"/>
            </w:pPr>
            <w:r/>
            <w:r>
              <w:rPr>
                <w:rFonts w:ascii="Arial" w:hAnsi="Arial"/>
                <w:b/>
                <w:color w:val="FFFFFF"/>
                <w:sz w:val="15"/>
              </w:rPr>
              <w:t>Where addressed</w:t>
            </w:r>
          </w:p>
        </w:tc>
        <w:tc>
          <w:tcPr>
            <w:tcW w:type="dxa" w:w="3293"/>
            <w:vAlign w:val="center"/>
            <w:shd w:fill="1F4E79"/>
          </w:tcPr>
          <w:p>
            <w:pPr>
              <w:spacing w:after="0"/>
            </w:pPr>
            <w:r/>
            <w:r>
              <w:rPr>
                <w:rFonts w:ascii="Arial" w:hAnsi="Arial"/>
                <w:b/>
                <w:color w:val="FFFFFF"/>
                <w:sz w:val="15"/>
              </w:rPr>
              <w:t>Current status / next action</w:t>
            </w:r>
          </w:p>
        </w:tc>
      </w:tr>
      <w:tr>
        <w:tc>
          <w:tcPr>
            <w:tcW w:type="dxa" w:w="3293"/>
            <w:vAlign w:val="center"/>
          </w:tcPr>
          <w:p>
            <w:pPr>
              <w:spacing w:after="0"/>
            </w:pPr>
            <w:r/>
            <w:r>
              <w:rPr>
                <w:rFonts w:ascii="Arial" w:hAnsi="Arial"/>
                <w:b w:val="0"/>
                <w:sz w:val="15"/>
              </w:rPr>
              <w:t>1. CPU FP32 and GPU FP64 comparisons</w:t>
            </w:r>
          </w:p>
        </w:tc>
        <w:tc>
          <w:tcPr>
            <w:tcW w:type="dxa" w:w="3293"/>
            <w:vAlign w:val="center"/>
          </w:tcPr>
          <w:p>
            <w:pPr>
              <w:spacing w:after="0"/>
            </w:pPr>
            <w:r/>
            <w:r>
              <w:rPr>
                <w:rFonts w:ascii="Arial" w:hAnsi="Arial"/>
                <w:b w:val="0"/>
                <w:sz w:val="15"/>
              </w:rPr>
              <w:t>Section 4.2</w:t>
            </w:r>
          </w:p>
        </w:tc>
        <w:tc>
          <w:tcPr>
            <w:tcW w:type="dxa" w:w="3293"/>
            <w:vAlign w:val="center"/>
          </w:tcPr>
          <w:p>
            <w:pPr>
              <w:spacing w:after="0"/>
            </w:pPr>
            <w:r/>
            <w:r>
              <w:rPr>
                <w:rFonts w:ascii="Arial" w:hAnsi="Arial"/>
                <w:b w:val="0"/>
                <w:sz w:val="15"/>
              </w:rPr>
              <w:t>Pending: run matched-precision cases; current CPU is FP64 and GPU is FP32.</w:t>
            </w:r>
          </w:p>
        </w:tc>
      </w:tr>
      <w:tr>
        <w:tc>
          <w:tcPr>
            <w:tcW w:type="dxa" w:w="3293"/>
            <w:vAlign w:val="center"/>
            <w:shd w:fill="F3F6F9"/>
          </w:tcPr>
          <w:p>
            <w:pPr>
              <w:spacing w:after="0"/>
            </w:pPr>
            <w:r/>
            <w:r>
              <w:rPr>
                <w:rFonts w:ascii="Arial" w:hAnsi="Arial"/>
                <w:b w:val="0"/>
                <w:sz w:val="15"/>
              </w:rPr>
              <w:t>2. Expected scaling as N increases</w:t>
            </w:r>
          </w:p>
        </w:tc>
        <w:tc>
          <w:tcPr>
            <w:tcW w:type="dxa" w:w="3293"/>
            <w:vAlign w:val="center"/>
            <w:shd w:fill="F3F6F9"/>
          </w:tcPr>
          <w:p>
            <w:pPr>
              <w:spacing w:after="0"/>
            </w:pPr>
            <w:r/>
            <w:r>
              <w:rPr>
                <w:rFonts w:ascii="Arial" w:hAnsi="Arial"/>
                <w:b w:val="0"/>
                <w:sz w:val="15"/>
              </w:rPr>
              <w:t>Section 4.2, Table 2</w:t>
            </w:r>
          </w:p>
        </w:tc>
        <w:tc>
          <w:tcPr>
            <w:tcW w:type="dxa" w:w="3293"/>
            <w:vAlign w:val="center"/>
            <w:shd w:fill="F3F6F9"/>
          </w:tcPr>
          <w:p>
            <w:pPr>
              <w:spacing w:after="0"/>
            </w:pPr>
            <w:r/>
            <w:r>
              <w:rPr>
                <w:rFonts w:ascii="Arial" w:hAnsi="Arial"/>
                <w:b w:val="0"/>
                <w:sz w:val="15"/>
              </w:rPr>
              <w:t>Addressed with O(N²d) expectation and measured doubling ratios.</w:t>
            </w:r>
          </w:p>
        </w:tc>
      </w:tr>
      <w:tr>
        <w:tc>
          <w:tcPr>
            <w:tcW w:type="dxa" w:w="3293"/>
            <w:vAlign w:val="center"/>
          </w:tcPr>
          <w:p>
            <w:pPr>
              <w:spacing w:after="0"/>
            </w:pPr>
            <w:r/>
            <w:r>
              <w:rPr>
                <w:rFonts w:ascii="Arial" w:hAnsi="Arial"/>
                <w:b w:val="0"/>
                <w:sz w:val="15"/>
              </w:rPr>
              <w:t>3. Larger N</w:t>
            </w:r>
          </w:p>
        </w:tc>
        <w:tc>
          <w:tcPr>
            <w:tcW w:type="dxa" w:w="3293"/>
            <w:vAlign w:val="center"/>
          </w:tcPr>
          <w:p>
            <w:pPr>
              <w:spacing w:after="0"/>
            </w:pPr>
            <w:r/>
            <w:r>
              <w:rPr>
                <w:rFonts w:ascii="Arial" w:hAnsi="Arial"/>
                <w:b w:val="0"/>
                <w:sz w:val="15"/>
              </w:rPr>
              <w:t>Sections 4.2 and 4.5</w:t>
            </w:r>
          </w:p>
        </w:tc>
        <w:tc>
          <w:tcPr>
            <w:tcW w:type="dxa" w:w="3293"/>
            <w:vAlign w:val="center"/>
          </w:tcPr>
          <w:p>
            <w:pPr>
              <w:spacing w:after="0"/>
            </w:pPr>
            <w:r/>
            <w:r>
              <w:rPr>
                <w:rFonts w:ascii="Arial" w:hAnsi="Arial"/>
                <w:b w:val="0"/>
                <w:sz w:val="15"/>
              </w:rPr>
              <w:t>Existing distributed results reach N=8192; extend beyond the current range and report resource limits.</w:t>
            </w:r>
          </w:p>
        </w:tc>
      </w:tr>
      <w:tr>
        <w:tc>
          <w:tcPr>
            <w:tcW w:type="dxa" w:w="3293"/>
            <w:vAlign w:val="center"/>
            <w:shd w:fill="F3F6F9"/>
          </w:tcPr>
          <w:p>
            <w:pPr>
              <w:spacing w:after="0"/>
            </w:pPr>
            <w:r/>
            <w:r>
              <w:rPr>
                <w:rFonts w:ascii="Arial" w:hAnsi="Arial"/>
                <w:b w:val="0"/>
                <w:sz w:val="15"/>
              </w:rPr>
              <w:t>4. Host/device copy time</w:t>
            </w:r>
          </w:p>
        </w:tc>
        <w:tc>
          <w:tcPr>
            <w:tcW w:type="dxa" w:w="3293"/>
            <w:vAlign w:val="center"/>
            <w:shd w:fill="F3F6F9"/>
          </w:tcPr>
          <w:p>
            <w:pPr>
              <w:spacing w:after="0"/>
            </w:pPr>
            <w:r/>
            <w:r>
              <w:rPr>
                <w:rFonts w:ascii="Arial" w:hAnsi="Arial"/>
                <w:b w:val="0"/>
                <w:sz w:val="15"/>
              </w:rPr>
              <w:t>Section 4.4, Table 4</w:t>
            </w:r>
          </w:p>
        </w:tc>
        <w:tc>
          <w:tcPr>
            <w:tcW w:type="dxa" w:w="3293"/>
            <w:vAlign w:val="center"/>
            <w:shd w:fill="F3F6F9"/>
          </w:tcPr>
          <w:p>
            <w:pPr>
              <w:spacing w:after="0"/>
            </w:pPr>
            <w:r/>
            <w:r>
              <w:rPr>
                <w:rFonts w:ascii="Arial" w:hAnsi="Arial"/>
                <w:b w:val="0"/>
                <w:sz w:val="15"/>
              </w:rPr>
              <w:t>Partial: local input-upload time is reported; measure output copy and distributed stage timings.</w:t>
            </w:r>
          </w:p>
        </w:tc>
      </w:tr>
      <w:tr>
        <w:tc>
          <w:tcPr>
            <w:tcW w:type="dxa" w:w="3293"/>
            <w:vAlign w:val="center"/>
          </w:tcPr>
          <w:p>
            <w:pPr>
              <w:spacing w:after="0"/>
            </w:pPr>
            <w:r/>
            <w:r>
              <w:rPr>
                <w:rFonts w:ascii="Arial" w:hAnsi="Arial"/>
                <w:b w:val="0"/>
                <w:sz w:val="15"/>
              </w:rPr>
              <w:t>5. OpenMP beyond 8 threads</w:t>
            </w:r>
          </w:p>
        </w:tc>
        <w:tc>
          <w:tcPr>
            <w:tcW w:type="dxa" w:w="3293"/>
            <w:vAlign w:val="center"/>
          </w:tcPr>
          <w:p>
            <w:pPr>
              <w:spacing w:after="0"/>
            </w:pPr>
            <w:r/>
            <w:r>
              <w:rPr>
                <w:rFonts w:ascii="Arial" w:hAnsi="Arial"/>
                <w:b w:val="0"/>
                <w:sz w:val="15"/>
              </w:rPr>
              <w:t>Section 4.3, Table 3</w:t>
            </w:r>
          </w:p>
        </w:tc>
        <w:tc>
          <w:tcPr>
            <w:tcW w:type="dxa" w:w="3293"/>
            <w:vAlign w:val="center"/>
          </w:tcPr>
          <w:p>
            <w:pPr>
              <w:spacing w:after="0"/>
            </w:pPr>
            <w:r/>
            <w:r>
              <w:rPr>
                <w:rFonts w:ascii="Arial" w:hAnsi="Arial"/>
                <w:b w:val="0"/>
                <w:sz w:val="15"/>
              </w:rPr>
              <w:t>Pending: run up to 72 threads on a Vanda node.</w:t>
            </w:r>
          </w:p>
        </w:tc>
      </w:tr>
      <w:tr>
        <w:tc>
          <w:tcPr>
            <w:tcW w:type="dxa" w:w="3293"/>
            <w:vAlign w:val="center"/>
            <w:shd w:fill="F3F6F9"/>
          </w:tcPr>
          <w:p>
            <w:pPr>
              <w:spacing w:after="0"/>
            </w:pPr>
            <w:r/>
            <w:r>
              <w:rPr>
                <w:rFonts w:ascii="Arial" w:hAnsi="Arial"/>
                <w:b w:val="0"/>
                <w:sz w:val="15"/>
              </w:rPr>
              <w:t>6. Parallel speedup and efficiency</w:t>
            </w:r>
          </w:p>
        </w:tc>
        <w:tc>
          <w:tcPr>
            <w:tcW w:type="dxa" w:w="3293"/>
            <w:vAlign w:val="center"/>
            <w:shd w:fill="F3F6F9"/>
          </w:tcPr>
          <w:p>
            <w:pPr>
              <w:spacing w:after="0"/>
            </w:pPr>
            <w:r/>
            <w:r>
              <w:rPr>
                <w:rFonts w:ascii="Arial" w:hAnsi="Arial"/>
                <w:b w:val="0"/>
                <w:sz w:val="15"/>
              </w:rPr>
              <w:t>Section 4.3, Table 3</w:t>
            </w:r>
          </w:p>
        </w:tc>
        <w:tc>
          <w:tcPr>
            <w:tcW w:type="dxa" w:w="3293"/>
            <w:vAlign w:val="center"/>
            <w:shd w:fill="F3F6F9"/>
          </w:tcPr>
          <w:p>
            <w:pPr>
              <w:spacing w:after="0"/>
            </w:pPr>
            <w:r/>
            <w:r>
              <w:rPr>
                <w:rFonts w:ascii="Arial" w:hAnsi="Arial"/>
                <w:b w:val="0"/>
                <w:sz w:val="15"/>
              </w:rPr>
              <w:t>Addressed for 1, 2, 4, and 8 threads; update after wider thread sweep.</w:t>
            </w:r>
          </w:p>
        </w:tc>
      </w:tr>
      <w:tr>
        <w:tc>
          <w:tcPr>
            <w:tcW w:type="dxa" w:w="3293"/>
            <w:vAlign w:val="center"/>
          </w:tcPr>
          <w:p>
            <w:pPr>
              <w:spacing w:after="0"/>
            </w:pPr>
            <w:r/>
            <w:r>
              <w:rPr>
                <w:rFonts w:ascii="Arial" w:hAnsi="Arial"/>
                <w:b w:val="0"/>
                <w:sz w:val="15"/>
              </w:rPr>
              <w:t>7. Explain blocking loops</w:t>
            </w:r>
          </w:p>
        </w:tc>
        <w:tc>
          <w:tcPr>
            <w:tcW w:type="dxa" w:w="3293"/>
            <w:vAlign w:val="center"/>
          </w:tcPr>
          <w:p>
            <w:pPr>
              <w:spacing w:after="0"/>
            </w:pPr>
            <w:r/>
            <w:r>
              <w:rPr>
                <w:rFonts w:ascii="Arial" w:hAnsi="Arial"/>
                <w:b w:val="0"/>
                <w:sz w:val="15"/>
              </w:rPr>
              <w:t>Section 2.2</w:t>
            </w:r>
          </w:p>
        </w:tc>
        <w:tc>
          <w:tcPr>
            <w:tcW w:type="dxa" w:w="3293"/>
            <w:vAlign w:val="center"/>
          </w:tcPr>
          <w:p>
            <w:pPr>
              <w:spacing w:after="0"/>
            </w:pPr>
            <w:r/>
            <w:r>
              <w:rPr>
                <w:rFonts w:ascii="Arial" w:hAnsi="Arial"/>
                <w:b w:val="0"/>
                <w:sz w:val="15"/>
              </w:rPr>
              <w:t>Addressed: outer query-block loop and inner key/value tile loop are described.</w:t>
            </w:r>
          </w:p>
        </w:tc>
      </w:tr>
      <w:tr>
        <w:tc>
          <w:tcPr>
            <w:tcW w:type="dxa" w:w="3293"/>
            <w:vAlign w:val="center"/>
            <w:shd w:fill="F3F6F9"/>
          </w:tcPr>
          <w:p>
            <w:pPr>
              <w:spacing w:after="0"/>
            </w:pPr>
            <w:r/>
            <w:r>
              <w:rPr>
                <w:rFonts w:ascii="Arial" w:hAnsi="Arial"/>
                <w:b w:val="0"/>
                <w:sz w:val="15"/>
              </w:rPr>
              <w:t>8. Define correctness error</w:t>
            </w:r>
          </w:p>
        </w:tc>
        <w:tc>
          <w:tcPr>
            <w:tcW w:type="dxa" w:w="3293"/>
            <w:vAlign w:val="center"/>
            <w:shd w:fill="F3F6F9"/>
          </w:tcPr>
          <w:p>
            <w:pPr>
              <w:spacing w:after="0"/>
            </w:pPr>
            <w:r/>
            <w:r>
              <w:rPr>
                <w:rFonts w:ascii="Arial" w:hAnsi="Arial"/>
                <w:b w:val="0"/>
                <w:sz w:val="15"/>
              </w:rPr>
              <w:t>Section 4.1, Table 1</w:t>
            </w:r>
          </w:p>
        </w:tc>
        <w:tc>
          <w:tcPr>
            <w:tcW w:type="dxa" w:w="3293"/>
            <w:vAlign w:val="center"/>
            <w:shd w:fill="F3F6F9"/>
          </w:tcPr>
          <w:p>
            <w:pPr>
              <w:spacing w:after="0"/>
            </w:pPr>
            <w:r/>
            <w:r>
              <w:rPr>
                <w:rFonts w:ascii="Arial" w:hAnsi="Arial"/>
                <w:b w:val="0"/>
                <w:sz w:val="15"/>
              </w:rPr>
              <w:t>Addressed with maximum absolute error and relative L2 error formulas.</w:t>
            </w:r>
          </w:p>
        </w:tc>
      </w:tr>
      <w:tr>
        <w:tc>
          <w:tcPr>
            <w:tcW w:type="dxa" w:w="3293"/>
            <w:vAlign w:val="center"/>
          </w:tcPr>
          <w:p>
            <w:pPr>
              <w:spacing w:after="0"/>
            </w:pPr>
            <w:r/>
            <w:r>
              <w:rPr>
                <w:rFonts w:ascii="Arial" w:hAnsi="Arial"/>
                <w:b w:val="0"/>
                <w:sz w:val="15"/>
              </w:rPr>
              <w:t>9. Provide source code, not only scripts</w:t>
            </w:r>
          </w:p>
        </w:tc>
        <w:tc>
          <w:tcPr>
            <w:tcW w:type="dxa" w:w="3293"/>
            <w:vAlign w:val="center"/>
          </w:tcPr>
          <w:p>
            <w:pPr>
              <w:spacing w:after="0"/>
            </w:pPr>
            <w:r/>
            <w:r>
              <w:rPr>
                <w:rFonts w:ascii="Arial" w:hAnsi="Arial"/>
                <w:b w:val="0"/>
                <w:sz w:val="15"/>
              </w:rPr>
              <w:t>Appendix B</w:t>
            </w:r>
          </w:p>
        </w:tc>
        <w:tc>
          <w:tcPr>
            <w:tcW w:type="dxa" w:w="3293"/>
            <w:vAlign w:val="center"/>
          </w:tcPr>
          <w:p>
            <w:pPr>
              <w:spacing w:after="0"/>
            </w:pPr>
            <w:r/>
            <w:r>
              <w:rPr>
                <w:rFonts w:ascii="Arial" w:hAnsi="Arial"/>
                <w:b w:val="0"/>
                <w:sz w:val="15"/>
              </w:rPr>
              <w:t>CUDA source is linked; add the serial CPU and OpenMP implementation files to the code repository.</w:t>
            </w:r>
          </w:p>
        </w:tc>
      </w:tr>
      <w:tr>
        <w:tc>
          <w:tcPr>
            <w:tcW w:type="dxa" w:w="3293"/>
            <w:vAlign w:val="center"/>
            <w:shd w:fill="F3F6F9"/>
          </w:tcPr>
          <w:p>
            <w:pPr>
              <w:spacing w:after="0"/>
            </w:pPr>
            <w:r/>
            <w:r>
              <w:rPr>
                <w:rFonts w:ascii="Arial" w:hAnsi="Arial"/>
                <w:b w:val="0"/>
                <w:sz w:val="15"/>
              </w:rPr>
              <w:t>10. Define d and dv</w:t>
            </w:r>
          </w:p>
        </w:tc>
        <w:tc>
          <w:tcPr>
            <w:tcW w:type="dxa" w:w="3293"/>
            <w:vAlign w:val="center"/>
            <w:shd w:fill="F3F6F9"/>
          </w:tcPr>
          <w:p>
            <w:pPr>
              <w:spacing w:after="0"/>
            </w:pPr>
            <w:r/>
            <w:r>
              <w:rPr>
                <w:rFonts w:ascii="Arial" w:hAnsi="Arial"/>
                <w:b w:val="0"/>
                <w:sz w:val="15"/>
              </w:rPr>
              <w:t>Section 2.1</w:t>
            </w:r>
          </w:p>
        </w:tc>
        <w:tc>
          <w:tcPr>
            <w:tcW w:type="dxa" w:w="3293"/>
            <w:vAlign w:val="center"/>
            <w:shd w:fill="F3F6F9"/>
          </w:tcPr>
          <w:p>
            <w:pPr>
              <w:spacing w:after="0"/>
            </w:pPr>
            <w:r/>
            <w:r>
              <w:rPr>
                <w:rFonts w:ascii="Arial" w:hAnsi="Arial"/>
                <w:b w:val="0"/>
                <w:sz w:val="15"/>
              </w:rPr>
              <w:t>Addressed: d maps to dₖ and dv maps to dᵥ.</w:t>
            </w:r>
          </w:p>
        </w:tc>
      </w:tr>
      <w:tr>
        <w:tc>
          <w:tcPr>
            <w:tcW w:type="dxa" w:w="3293"/>
            <w:vAlign w:val="center"/>
          </w:tcPr>
          <w:p>
            <w:pPr>
              <w:spacing w:after="0"/>
            </w:pPr>
            <w:r/>
            <w:r>
              <w:rPr>
                <w:rFonts w:ascii="Arial" w:hAnsi="Arial"/>
                <w:b w:val="0"/>
                <w:sz w:val="15"/>
              </w:rPr>
              <w:t>11. Explain weak-scaling runtime increase</w:t>
            </w:r>
          </w:p>
        </w:tc>
        <w:tc>
          <w:tcPr>
            <w:tcW w:type="dxa" w:w="3293"/>
            <w:vAlign w:val="center"/>
          </w:tcPr>
          <w:p>
            <w:pPr>
              <w:spacing w:after="0"/>
            </w:pPr>
            <w:r/>
            <w:r>
              <w:rPr>
                <w:rFonts w:ascii="Arial" w:hAnsi="Arial"/>
                <w:b w:val="0"/>
                <w:sz w:val="15"/>
              </w:rPr>
              <w:t>Section 4.5, Table 5</w:t>
            </w:r>
          </w:p>
        </w:tc>
        <w:tc>
          <w:tcPr>
            <w:tcW w:type="dxa" w:w="3293"/>
            <w:vAlign w:val="center"/>
          </w:tcPr>
          <w:p>
            <w:pPr>
              <w:spacing w:after="0"/>
            </w:pPr>
            <w:r/>
            <w:r>
              <w:rPr>
                <w:rFonts w:ascii="Arial" w:hAnsi="Arial"/>
                <w:b w:val="0"/>
                <w:sz w:val="15"/>
              </w:rPr>
              <w:t>Discussed cautiously; component-level profiling is still needed to isolate communication.</w:t>
            </w:r>
          </w:p>
        </w:tc>
      </w:tr>
      <w:tr>
        <w:tc>
          <w:tcPr>
            <w:tcW w:type="dxa" w:w="3293"/>
            <w:vAlign w:val="center"/>
            <w:shd w:fill="F3F6F9"/>
          </w:tcPr>
          <w:p>
            <w:pPr>
              <w:spacing w:after="0"/>
            </w:pPr>
            <w:r/>
            <w:r>
              <w:rPr>
                <w:rFonts w:ascii="Arial" w:hAnsi="Arial"/>
                <w:b w:val="0"/>
                <w:sz w:val="15"/>
              </w:rPr>
              <w:t>12. Show local RTX 4090 results</w:t>
            </w:r>
          </w:p>
        </w:tc>
        <w:tc>
          <w:tcPr>
            <w:tcW w:type="dxa" w:w="3293"/>
            <w:vAlign w:val="center"/>
            <w:shd w:fill="F3F6F9"/>
          </w:tcPr>
          <w:p>
            <w:pPr>
              <w:spacing w:after="0"/>
            </w:pPr>
            <w:r/>
            <w:r>
              <w:rPr>
                <w:rFonts w:ascii="Arial" w:hAnsi="Arial"/>
                <w:b w:val="0"/>
                <w:sz w:val="15"/>
              </w:rPr>
              <w:t>Section 4.4, Table 4; Appendix A</w:t>
            </w:r>
          </w:p>
        </w:tc>
        <w:tc>
          <w:tcPr>
            <w:tcW w:type="dxa" w:w="3293"/>
            <w:vAlign w:val="center"/>
            <w:shd w:fill="F3F6F9"/>
          </w:tcPr>
          <w:p>
            <w:pPr>
              <w:spacing w:after="0"/>
            </w:pPr>
            <w:r/>
            <w:r>
              <w:rPr>
                <w:rFonts w:ascii="Arial" w:hAnsi="Arial"/>
                <w:b w:val="0"/>
                <w:sz w:val="15"/>
              </w:rPr>
              <w:t>Addressed with measured results and local terminal screenshots.</w:t>
            </w:r>
          </w:p>
        </w:tc>
      </w:tr>
      <w:tr>
        <w:tc>
          <w:tcPr>
            <w:tcW w:type="dxa" w:w="3293"/>
            <w:vAlign w:val="center"/>
          </w:tcPr>
          <w:p>
            <w:pPr>
              <w:spacing w:after="0"/>
            </w:pPr>
            <w:r/>
            <w:r>
              <w:rPr>
                <w:rFonts w:ascii="Arial" w:hAnsi="Arial"/>
                <w:b w:val="0"/>
                <w:sz w:val="15"/>
              </w:rPr>
              <w:t>13. Explain larger-tile efficiency</w:t>
            </w:r>
          </w:p>
        </w:tc>
        <w:tc>
          <w:tcPr>
            <w:tcW w:type="dxa" w:w="3293"/>
            <w:vAlign w:val="center"/>
          </w:tcPr>
          <w:p>
            <w:pPr>
              <w:spacing w:after="0"/>
            </w:pPr>
            <w:r/>
            <w:r>
              <w:rPr>
                <w:rFonts w:ascii="Arial" w:hAnsi="Arial"/>
                <w:b w:val="0"/>
                <w:sz w:val="15"/>
              </w:rPr>
              <w:t>Section 4.6, Table 6</w:t>
            </w:r>
          </w:p>
        </w:tc>
        <w:tc>
          <w:tcPr>
            <w:tcW w:type="dxa" w:w="3293"/>
            <w:vAlign w:val="center"/>
          </w:tcPr>
          <w:p>
            <w:pPr>
              <w:spacing w:after="0"/>
            </w:pPr>
            <w:r/>
            <w:r>
              <w:rPr>
                <w:rFonts w:ascii="Arial" w:hAnsi="Arial"/>
                <w:b w:val="0"/>
                <w:sz w:val="15"/>
              </w:rPr>
              <w:t>Provides a mechanism consistent with results; profiling is needed to confirm bottlenecks.</w:t>
            </w:r>
          </w:p>
        </w:tc>
      </w:tr>
    </w:tbl>
    <w:p>
      <w:pPr>
        <w:spacing w:after="20"/>
      </w:pPr>
    </w:p>
    <w:p>
      <w:pPr>
        <w:spacing w:before="0" w:after="120"/>
        <w:jc w:val="center"/>
      </w:pPr>
      <w:r>
        <w:rPr>
          <w:i/>
          <w:color w:val="444444"/>
          <w:sz w:val="18"/>
        </w:rPr>
        <w:t>Table 7. Traceability matrix for the requested feedback and remaining measurements.</w:t>
      </w:r>
    </w:p>
    <w:p>
      <w:pPr>
        <w:pStyle w:val="Heading1"/>
      </w:pPr>
      <w:r>
        <w:t>6. Conclusion</w:t>
      </w:r>
    </w:p>
    <w:p>
      <w:r>
        <w:t>The project has working serial CPU, OpenMP, single-GPU CUDA, and two-node MPI+CUDA execution paths, with correctness checks passed for the reported validation cases. Measured attention runtimes broadly follow quadratic growth with N at fixed feature dimensions. The local RTX 4090 timing output separately reports input upload and compute time. Two-node weak-scaling runs remain slower than the corresponding one-GPU runs, and the current data are insufficient to assign the difference only to communication. The next evaluation should prioritize matched FP32/FP64 comparisons, larger sequence lengths, OpenMP scaling through 72 threads, and stage-level communication profiling.</w:t>
      </w:r>
    </w:p>
    <w:p>
      <w:r>
        <w:br w:type="page"/>
      </w:r>
    </w:p>
    <w:p>
      <w:pPr>
        <w:pStyle w:val="Heading1"/>
      </w:pPr>
      <w:r>
        <w:t>Appendix A. Local RTX 4090 run evidence</w:t>
      </w:r>
    </w:p>
    <w:p>
      <w:r>
        <w:t>The following images are terminal captures from the local RTX 4090 environment. They show GPU identification and CUDA validation/benchmark outputs. The corresponding run sources are listed in Appendix B.</w:t>
      </w:r>
    </w:p>
    <w:p>
      <w:pPr>
        <w:spacing w:after="40"/>
        <w:jc w:val="center"/>
      </w:pPr>
      <w:r>
        <w:drawing>
          <wp:inline xmlns:a="http://schemas.openxmlformats.org/drawingml/2006/main" xmlns:pic="http://schemas.openxmlformats.org/drawingml/2006/picture">
            <wp:extent cx="5486400" cy="324694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246947"/>
                    </a:xfrm>
                    <a:prstGeom prst="rect"/>
                  </pic:spPr>
                </pic:pic>
              </a:graphicData>
            </a:graphic>
          </wp:inline>
        </w:drawing>
      </w:r>
    </w:p>
    <w:p>
      <w:pPr>
        <w:spacing w:before="0" w:after="120"/>
        <w:jc w:val="center"/>
      </w:pPr>
      <w:r>
        <w:rPr>
          <w:i/>
          <w:color w:val="444444"/>
          <w:sz w:val="18"/>
        </w:rPr>
        <w:t>Figure A1. Local GPU identification using nvidia-smi.</w:t>
      </w:r>
    </w:p>
    <w:p>
      <w:pPr>
        <w:spacing w:after="40"/>
        <w:jc w:val="center"/>
      </w:pPr>
      <w:r>
        <w:drawing>
          <wp:inline xmlns:a="http://schemas.openxmlformats.org/drawingml/2006/main" xmlns:pic="http://schemas.openxmlformats.org/drawingml/2006/picture">
            <wp:extent cx="5486400" cy="250168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501689"/>
                    </a:xfrm>
                    <a:prstGeom prst="rect"/>
                  </pic:spPr>
                </pic:pic>
              </a:graphicData>
            </a:graphic>
          </wp:inline>
        </w:drawing>
      </w:r>
    </w:p>
    <w:p>
      <w:pPr>
        <w:spacing w:before="0" w:after="120"/>
        <w:jc w:val="center"/>
      </w:pPr>
      <w:r>
        <w:rPr>
          <w:i/>
          <w:color w:val="444444"/>
          <w:sz w:val="18"/>
        </w:rPr>
        <w:t>Figure A2. RTX 4090 full-attention validation at N=257.</w:t>
      </w:r>
    </w:p>
    <w:p>
      <w:pPr>
        <w:spacing w:after="40"/>
        <w:jc w:val="center"/>
      </w:pPr>
      <w:r>
        <w:drawing>
          <wp:inline xmlns:a="http://schemas.openxmlformats.org/drawingml/2006/main" xmlns:pic="http://schemas.openxmlformats.org/drawingml/2006/picture">
            <wp:extent cx="5486400" cy="2412586"/>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2412586"/>
                    </a:xfrm>
                    <a:prstGeom prst="rect"/>
                  </pic:spPr>
                </pic:pic>
              </a:graphicData>
            </a:graphic>
          </wp:inline>
        </w:drawing>
      </w:r>
    </w:p>
    <w:p>
      <w:pPr>
        <w:spacing w:before="0" w:after="120"/>
        <w:jc w:val="center"/>
      </w:pPr>
      <w:r>
        <w:rPr>
          <w:i/>
          <w:color w:val="444444"/>
          <w:sz w:val="18"/>
        </w:rPr>
        <w:t>Figure A3. RTX 4090 causal-attention validation at N=257.</w:t>
      </w:r>
    </w:p>
    <w:p>
      <w:pPr>
        <w:spacing w:after="40"/>
        <w:jc w:val="center"/>
      </w:pPr>
      <w:r>
        <w:drawing>
          <wp:inline xmlns:a="http://schemas.openxmlformats.org/drawingml/2006/main" xmlns:pic="http://schemas.openxmlformats.org/drawingml/2006/picture">
            <wp:extent cx="5486400" cy="292547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2925472"/>
                    </a:xfrm>
                    <a:prstGeom prst="rect"/>
                  </pic:spPr>
                </pic:pic>
              </a:graphicData>
            </a:graphic>
          </wp:inline>
        </w:drawing>
      </w:r>
    </w:p>
    <w:p>
      <w:pPr>
        <w:spacing w:before="0" w:after="120"/>
        <w:jc w:val="center"/>
      </w:pPr>
      <w:r>
        <w:rPr>
          <w:i/>
          <w:color w:val="444444"/>
          <w:sz w:val="18"/>
        </w:rPr>
        <w:t>Figure A4. RTX 4090 full-attention benchmark at N=1024.</w:t>
      </w:r>
    </w:p>
    <w:p>
      <w:pPr>
        <w:spacing w:after="40"/>
        <w:jc w:val="center"/>
      </w:pPr>
      <w:r>
        <w:drawing>
          <wp:inline xmlns:a="http://schemas.openxmlformats.org/drawingml/2006/main" xmlns:pic="http://schemas.openxmlformats.org/drawingml/2006/picture">
            <wp:extent cx="5486400" cy="2945139"/>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2945139"/>
                    </a:xfrm>
                    <a:prstGeom prst="rect"/>
                  </pic:spPr>
                </pic:pic>
              </a:graphicData>
            </a:graphic>
          </wp:inline>
        </w:drawing>
      </w:r>
    </w:p>
    <w:p>
      <w:pPr>
        <w:spacing w:before="0" w:after="120"/>
        <w:jc w:val="center"/>
      </w:pPr>
      <w:r>
        <w:rPr>
          <w:i/>
          <w:color w:val="444444"/>
          <w:sz w:val="18"/>
        </w:rPr>
        <w:t>Figure A5. RTX 4090 full-attention benchmark at N=4096.</w:t>
      </w:r>
    </w:p>
    <w:p>
      <w:r>
        <w:br w:type="page"/>
      </w:r>
    </w:p>
    <w:p>
      <w:pPr>
        <w:pStyle w:val="Heading1"/>
      </w:pPr>
      <w:r>
        <w:t>Appendix B. Source-code availability</w:t>
      </w:r>
    </w:p>
    <w:p>
      <w:r>
        <w:t>The prior command-only appendix has been removed from this report. The CUDA implementation source files are maintained separately from the Word report in the project repository:</w:t>
      </w:r>
    </w:p>
    <w:p>
      <w:r>
        <w:t xml:space="preserve">CUDA source directory: </w:t>
      </w:r>
      <w:hyperlink r:id="rId18">
        <w:r>
          <w:rPr>
            <w:color w:val="0563C1"/>
            <w:u w:val="single"/>
          </w:rPr>
          <w:t>code/local_cuda</w:t>
        </w:r>
      </w:hyperlink>
    </w:p>
    <w:p>
      <w:pPr>
        <w:pStyle w:val="ListBullet"/>
      </w:pPr>
      <w:hyperlink r:id="rId19">
        <w:r>
          <w:rPr>
            <w:color w:val="0563C1"/>
            <w:u w:val="single"/>
          </w:rPr>
          <w:t>attention_cuda.cu</w:t>
        </w:r>
      </w:hyperlink>
    </w:p>
    <w:p>
      <w:pPr>
        <w:pStyle w:val="ListBullet"/>
      </w:pPr>
      <w:hyperlink r:id="rId20">
        <w:r>
          <w:rPr>
            <w:color w:val="0563C1"/>
            <w:u w:val="single"/>
          </w:rPr>
          <w:t>attention_gpu.cuh</w:t>
        </w:r>
      </w:hyperlink>
    </w:p>
    <w:p>
      <w:pPr>
        <w:pStyle w:val="ListBullet"/>
      </w:pPr>
      <w:hyperlink r:id="rId21">
        <w:r>
          <w:rPr>
            <w:color w:val="0563C1"/>
            <w:u w:val="single"/>
          </w:rPr>
          <w:t>attention_common.hpp</w:t>
        </w:r>
      </w:hyperlink>
    </w:p>
    <w:p>
      <w:r>
        <w:t>The source directory contains the CUDA implementation and its headers, rather than PBS submission scripts. The serial CPU and OpenMP source files should also be added to the repository before the final submission so all implementations described in this report are available as code.</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7788"/>
        <w:sz w:val="16"/>
      </w:rPr>
      <w:t>PROGRESS REPORT  |  DISTRIBUTED ATTENTION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200"/>
      <w:contextualSpacing/>
    </w:pPr>
    <w:rPr>
      <w:rFonts w:asciiTheme="majorHAnsi" w:eastAsiaTheme="majorEastAsia" w:hAnsiTheme="majorHAnsi" w:cstheme="majorBidi" w:ascii="Arial" w:hAnsi="Arial" w:eastAsia="Arial"/>
      <w:b/>
      <w:color w:val="23374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github.com/anaerovane/ProgressReport/tree/main/code/local_cuda" TargetMode="External"/><Relationship Id="rId19" Type="http://schemas.openxmlformats.org/officeDocument/2006/relationships/hyperlink" Target="https://github.com/anaerovane/ProgressReport/blob/main/code/local_cuda/attention_cuda.cu" TargetMode="External"/><Relationship Id="rId20" Type="http://schemas.openxmlformats.org/officeDocument/2006/relationships/hyperlink" Target="https://github.com/anaerovane/ProgressReport/blob/main/code/local_cuda/attention_gpu.cuh" TargetMode="External"/><Relationship Id="rId21" Type="http://schemas.openxmlformats.org/officeDocument/2006/relationships/hyperlink" Target="https://github.com/anaerovane/ProgressReport/blob/main/code/local_cuda/attention_common.h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 Distributed Ring Attention</dc:title>
  <dc:subject>Reorganized progress report with measured results and pending feedback responses</dc:subject>
  <dc:creator>Dong Wuzheng; Gao Hongye; Yang Guanxi</dc:creator>
  <cp:keywords/>
  <dc:description>generated by python-docx</dc:description>
  <cp:lastModifiedBy/>
  <cp:revision>1</cp:revision>
  <dcterms:created xsi:type="dcterms:W3CDTF">2013-12-23T23:15:00Z</dcterms:created>
  <dcterms:modified xsi:type="dcterms:W3CDTF">2013-12-23T23:15:00Z</dcterms:modified>
  <cp:category/>
</cp:coreProperties>
</file>