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1F3A"/>
        </w:rPr>
        <w:t>Parkar GCC — Global Capability Centers</w:t>
      </w:r>
    </w:p>
    <w:p>
      <w:r>
        <w:rPr>
          <w:i/>
          <w:color w:val="00C4A7"/>
          <w:sz w:val="24"/>
        </w:rPr>
        <w:t>Build, operate and scale your India GCC for AI</w:t>
      </w:r>
    </w:p>
    <w:p>
      <w:pPr>
        <w:pStyle w:val="Heading1"/>
      </w:pPr>
      <w:r>
        <w:rPr>
          <w:color w:val="0B1F3A"/>
        </w:rPr>
        <w:t>Overview</w:t>
      </w:r>
    </w:p>
    <w:p>
      <w:r>
        <w:t>Parkar helps enterprises stand up and scale Global Capability Centers (GCCs) — particularly in India — that are built not just for scale but for intelligence. We bring AIOps and GenAI to unlock productivity and performance.</w:t>
      </w:r>
    </w:p>
    <w:p>
      <w:pPr>
        <w:pStyle w:val="Heading1"/>
      </w:pPr>
      <w:r>
        <w:rPr>
          <w:color w:val="0B1F3A"/>
        </w:rPr>
        <w:t>Engagement 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 For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You Get</w:t>
            </w:r>
          </w:p>
        </w:tc>
      </w:tr>
      <w:tr>
        <w:tc>
          <w:tcPr>
            <w:tcW w:type="dxa" w:w="2880"/>
          </w:tcPr>
          <w:p>
            <w:r>
              <w:t>Build-Operate-Transfer (BOT)</w:t>
            </w:r>
          </w:p>
        </w:tc>
        <w:tc>
          <w:tcPr>
            <w:tcW w:type="dxa" w:w="2880"/>
          </w:tcPr>
          <w:p>
            <w:r>
              <w:t>Standing up a new GCC</w:t>
            </w:r>
          </w:p>
        </w:tc>
        <w:tc>
          <w:tcPr>
            <w:tcW w:type="dxa" w:w="2880"/>
          </w:tcPr>
          <w:p>
            <w:r>
              <w:t>Parkar builds and operates, then transfers ownership to you.</w:t>
            </w:r>
          </w:p>
        </w:tc>
      </w:tr>
      <w:tr>
        <w:tc>
          <w:tcPr>
            <w:tcW w:type="dxa" w:w="2880"/>
          </w:tcPr>
          <w:p>
            <w:r>
              <w:t>Managed Service</w:t>
            </w:r>
          </w:p>
        </w:tc>
        <w:tc>
          <w:tcPr>
            <w:tcW w:type="dxa" w:w="2880"/>
          </w:tcPr>
          <w:p>
            <w:r>
              <w:t>Running capability as a service</w:t>
            </w:r>
          </w:p>
        </w:tc>
        <w:tc>
          <w:tcPr>
            <w:tcW w:type="dxa" w:w="2880"/>
          </w:tcPr>
          <w:p>
            <w:r>
              <w:t>Parkar runs the capability against agreed outcomes and SLAs.</w:t>
            </w:r>
          </w:p>
        </w:tc>
      </w:tr>
      <w:tr>
        <w:tc>
          <w:tcPr>
            <w:tcW w:type="dxa" w:w="2880"/>
          </w:tcPr>
          <w:p>
            <w:r>
              <w:t>Pay-as-you-go</w:t>
            </w:r>
          </w:p>
        </w:tc>
        <w:tc>
          <w:tcPr>
            <w:tcW w:type="dxa" w:w="2880"/>
          </w:tcPr>
          <w:p>
            <w:r>
              <w:t>Flexible, variable demand</w:t>
            </w:r>
          </w:p>
        </w:tc>
        <w:tc>
          <w:tcPr>
            <w:tcW w:type="dxa" w:w="2880"/>
          </w:tcPr>
          <w:p>
            <w:r>
              <w:t>Scale capacity up or down with consumption-based commercials.</w:t>
            </w:r>
          </w:p>
        </w:tc>
      </w:tr>
    </w:tbl>
    <w:p>
      <w:pPr>
        <w:pStyle w:val="Heading1"/>
      </w:pPr>
      <w:r>
        <w:rPr>
          <w:color w:val="0B1F3A"/>
        </w:rPr>
        <w:t>GCC + AI</w:t>
      </w:r>
    </w:p>
    <w:p>
      <w:pPr>
        <w:pStyle w:val="ListBullet"/>
      </w:pPr>
      <w:r>
        <w:t>GenAI and AIOps to enhance efficiency and accelerate innovation.</w:t>
      </w:r>
    </w:p>
    <w:p>
      <w:pPr>
        <w:pStyle w:val="ListBullet"/>
      </w:pPr>
      <w:r>
        <w:t>Gen AI Studio and real-time AI Ops accelerators.</w:t>
      </w:r>
    </w:p>
    <w:p>
      <w:pPr>
        <w:pStyle w:val="ListBullet"/>
      </w:pPr>
      <w:r>
        <w:t>Thought leadership on what India's GCCs need to win with GenAI.</w:t>
      </w:r>
    </w:p>
    <w:p>
      <w:pPr>
        <w:pStyle w:val="Heading1"/>
      </w:pPr>
      <w:r>
        <w:rPr>
          <w:color w:val="0B1F3A"/>
        </w:rPr>
        <w:t>Learn More</w:t>
      </w:r>
    </w:p>
    <w:p>
      <w:r>
        <w:t>Explore GCC overview, models, case studies and thought leadership at parkar.in/gcc.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