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Legal Policies</w:t>
      </w:r>
    </w:p>
    <w:p>
      <w:r>
        <w:rPr>
          <w:i/>
          <w:color w:val="00C4A7"/>
          <w:sz w:val="24"/>
        </w:rPr>
        <w:t>Privacy, terms and compliance</w:t>
      </w:r>
    </w:p>
    <w:p>
      <w:r>
        <w:rPr>
          <w:b/>
          <w:sz w:val="18"/>
        </w:rPr>
        <w:t>Summary for the knowledge base. The authoritative legal text lives at parkar.in/legal.</w:t>
      </w:r>
    </w:p>
    <w:p>
      <w:pPr>
        <w:pStyle w:val="Heading1"/>
      </w:pPr>
      <w:r>
        <w:rPr>
          <w:color w:val="0B1F3A"/>
        </w:rPr>
        <w:t>Privacy Policy (Summary)</w:t>
      </w:r>
    </w:p>
    <w:p>
      <w:pPr>
        <w:pStyle w:val="ListBullet"/>
      </w:pPr>
      <w:r>
        <w:t>Parkar collects only the personal information needed to provide services and respond to enquiries.</w:t>
      </w:r>
    </w:p>
    <w:p>
      <w:pPr>
        <w:pStyle w:val="ListBullet"/>
      </w:pPr>
      <w:r>
        <w:t>Data is processed lawfully, stored securely, and not sold to third parties.</w:t>
      </w:r>
    </w:p>
    <w:p>
      <w:pPr>
        <w:pStyle w:val="ListBullet"/>
      </w:pPr>
      <w:r>
        <w:t>Users may request access to, correction of, or deletion of their personal data.</w:t>
      </w:r>
    </w:p>
    <w:p>
      <w:pPr>
        <w:pStyle w:val="ListBullet"/>
      </w:pPr>
      <w:r>
        <w:t>Full details are published at parkar.in/legal/privacy.</w:t>
      </w:r>
    </w:p>
    <w:p>
      <w:pPr>
        <w:pStyle w:val="Heading1"/>
      </w:pPr>
      <w:r>
        <w:rPr>
          <w:color w:val="0B1F3A"/>
        </w:rPr>
        <w:t>Terms of Use (Summary)</w:t>
      </w:r>
    </w:p>
    <w:p>
      <w:pPr>
        <w:pStyle w:val="ListBullet"/>
      </w:pPr>
      <w:r>
        <w:t>Website content is provided for general information about Parkar's services.</w:t>
      </w:r>
    </w:p>
    <w:p>
      <w:pPr>
        <w:pStyle w:val="ListBullet"/>
      </w:pPr>
      <w:r>
        <w:t>Trademarks, platform names (AIONIQ, Vector) and content are the property of Parkar.</w:t>
      </w:r>
    </w:p>
    <w:p>
      <w:pPr>
        <w:pStyle w:val="ListBullet"/>
      </w:pPr>
      <w:r>
        <w:t>Use of the site is subject to the full terms at parkar.in/legal/terms.</w:t>
      </w:r>
    </w:p>
    <w:p>
      <w:pPr>
        <w:pStyle w:val="Heading1"/>
      </w:pPr>
      <w:r>
        <w:rPr>
          <w:color w:val="0B1F3A"/>
        </w:rPr>
        <w:t>Security &amp; Compliance</w:t>
      </w:r>
    </w:p>
    <w:p>
      <w:pPr>
        <w:pStyle w:val="ListBullet"/>
      </w:pPr>
      <w:r>
        <w:t>AIONIQ is SOC 2 certified.</w:t>
      </w:r>
    </w:p>
    <w:p>
      <w:pPr>
        <w:pStyle w:val="ListBullet"/>
      </w:pPr>
      <w:r>
        <w:t>HIPAA-compliant data governance is available for healthcare engagements.</w:t>
      </w:r>
    </w:p>
    <w:p>
      <w:pPr>
        <w:pStyle w:val="ListBullet"/>
      </w:pPr>
      <w:r>
        <w:t>Parkar holds ISO 27001-aligned and AICPA SOC credentials (see certification badges on the site).</w:t>
      </w:r>
    </w:p>
    <w:p>
      <w:pPr>
        <w:pStyle w:val="ListBullet"/>
      </w:pPr>
      <w:r>
        <w:t>Security and governance are built in to delivery, not bolted on.</w:t>
      </w:r>
    </w:p>
    <w:p>
      <w:pPr>
        <w:pStyle w:val="Heading1"/>
      </w:pPr>
      <w:r>
        <w:rPr>
          <w:color w:val="0B1F3A"/>
        </w:rPr>
        <w:t>Contact for Legal &amp; Data Requests</w:t>
      </w:r>
    </w:p>
    <w:p>
      <w:r>
        <w:t>Privacy, data-subject and legal enquiries can be submitted through the Contact page on parkar.in.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