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0B1F3A"/>
        </w:rPr>
        <w:t>Parkar Partners &amp; Alliances</w:t>
      </w:r>
    </w:p>
    <w:p>
      <w:r>
        <w:rPr>
          <w:i/>
          <w:color w:val="00C4A7"/>
          <w:sz w:val="24"/>
        </w:rPr>
        <w:t>Technology partnerships that accelerate enterprise AI delivery</w:t>
      </w:r>
    </w:p>
    <w:p>
      <w:pPr>
        <w:pStyle w:val="Heading1"/>
      </w:pPr>
      <w:r>
        <w:rPr>
          <w:color w:val="0B1F3A"/>
        </w:rPr>
        <w:t>Our Partner Ecosystem</w:t>
      </w:r>
    </w:p>
    <w:p>
      <w:r>
        <w:t>Parkar works alongside the world's leading cloud, data and AI platform providers. These partnerships mean we bring certified expertise, partner-funded programmes and early access to new capabilities to every engagement — so clients reach production faster and with less risk.</w:t>
      </w:r>
    </w:p>
    <w:p>
      <w:pPr>
        <w:pStyle w:val="Heading1"/>
      </w:pPr>
      <w:r>
        <w:rPr>
          <w:color w:val="0B1F3A"/>
        </w:rPr>
        <w:t>Cloud &amp; Hyperscaler Partners</w:t>
      </w:r>
    </w:p>
    <w:p>
      <w:pPr>
        <w:pStyle w:val="ListBullet"/>
      </w:pPr>
      <w:r>
        <w:t>Microsoft Azure — co-engineering on Azure AI, Azure OpenAI, Fabric and AKS; Microsoft solution partner.</w:t>
      </w:r>
    </w:p>
    <w:p>
      <w:pPr>
        <w:pStyle w:val="ListBullet"/>
      </w:pPr>
      <w:r>
        <w:t>Amazon Web Services (AWS) — cloud migration, data engineering and well-architected delivery.</w:t>
      </w:r>
    </w:p>
    <w:p>
      <w:pPr>
        <w:pStyle w:val="ListBullet"/>
      </w:pPr>
      <w:r>
        <w:t>Google Cloud — data analytics and AI workloads.</w:t>
      </w:r>
    </w:p>
    <w:p>
      <w:pPr>
        <w:pStyle w:val="Heading1"/>
      </w:pPr>
      <w:r>
        <w:rPr>
          <w:color w:val="0B1F3A"/>
        </w:rPr>
        <w:t>Data &amp; AI Platform Partners</w:t>
      </w:r>
    </w:p>
    <w:p>
      <w:pPr>
        <w:pStyle w:val="ListBullet"/>
      </w:pPr>
      <w:r>
        <w:t>Databricks — lakehouse, data engineering and ML platform delivery.</w:t>
      </w:r>
    </w:p>
    <w:p>
      <w:pPr>
        <w:pStyle w:val="ListBullet"/>
      </w:pPr>
      <w:r>
        <w:t>Snowflake — cloud data warehousing and cost-optimised analytics.</w:t>
      </w:r>
    </w:p>
    <w:p>
      <w:pPr>
        <w:pStyle w:val="ListBullet"/>
      </w:pPr>
      <w:r>
        <w:t>Microsoft Fabric — unified analytics and real-time intelligence.</w:t>
      </w:r>
    </w:p>
    <w:p>
      <w:pPr>
        <w:pStyle w:val="Heading1"/>
      </w:pPr>
      <w:r>
        <w:rPr>
          <w:color w:val="0B1F3A"/>
        </w:rPr>
        <w:t>Why It Matters</w:t>
      </w:r>
    </w:p>
    <w:p>
      <w:r>
        <w:t>Because we don't start from scratch on every engagement: our platforms (AIONIQ and Vector) plus partner accelerators give enterprises pre-built AI operating models, data connectors, AIOps correlation and reference architectures from day one.</w:t>
      </w:r>
    </w:p>
    <w:p>
      <w:pPr>
        <w:pStyle w:val="Heading1"/>
      </w:pPr>
      <w:r>
        <w:rPr>
          <w:color w:val="0B1F3A"/>
        </w:rPr>
        <w:t>Becoming a Partner</w:t>
      </w:r>
    </w:p>
    <w:p>
      <w:r>
        <w:t>Organisations interested in partnering with Parkar — whether as a technology, delivery or go-to-market partner — can reach out through the Contact page on parkar.in.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