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1F3A"/>
        </w:rPr>
        <w:t>Parkar Platforms — AIONIQ &amp; Vector</w:t>
      </w:r>
    </w:p>
    <w:p>
      <w:r>
        <w:rPr>
          <w:i/>
          <w:color w:val="00C4A7"/>
          <w:sz w:val="24"/>
        </w:rPr>
        <w:t>Proprietary platforms that make enterprise AI repeatable</w:t>
      </w:r>
    </w:p>
    <w:p>
      <w:pPr>
        <w:pStyle w:val="Heading1"/>
      </w:pPr>
      <w:r>
        <w:rPr>
          <w:color w:val="0B1F3A"/>
        </w:rPr>
        <w:t>AIONIQ — AI Operating Model Platform</w:t>
      </w:r>
    </w:p>
    <w:p>
      <w:r>
        <w:t>AIONIQ is Parkar's AI operating model platform. It governs the full journey from AI readiness through to production agentic workflows, so enterprises don't have to assemble the operating model from scratch.</w:t>
      </w:r>
    </w:p>
    <w:p>
      <w:pPr>
        <w:pStyle w:val="ListBullet"/>
      </w:pPr>
      <w:r>
        <w:t>AI Readiness Assessment — scored, prioritised, actionable output in days.</w:t>
      </w:r>
    </w:p>
    <w:p>
      <w:pPr>
        <w:pStyle w:val="ListBullet"/>
      </w:pPr>
      <w:r>
        <w:t>Pre-built AI operating model and agentic workflow library.</w:t>
      </w:r>
    </w:p>
    <w:p>
      <w:pPr>
        <w:pStyle w:val="ListBullet"/>
      </w:pPr>
      <w:r>
        <w:t>Governance, security and compliance built in (SOC 2 certified).</w:t>
      </w:r>
    </w:p>
    <w:p>
      <w:pPr>
        <w:pStyle w:val="ListBullet"/>
      </w:pPr>
      <w:r>
        <w:t>1,000+ MCP servers for tool and system integration.</w:t>
      </w:r>
    </w:p>
    <w:p>
      <w:pPr>
        <w:pStyle w:val="Heading1"/>
      </w:pPr>
      <w:r>
        <w:rPr>
          <w:color w:val="0B1F3A"/>
        </w:rPr>
        <w:t>Vector — Intelligent IT Operations &amp; Observability</w:t>
      </w:r>
    </w:p>
    <w:p>
      <w:r>
        <w:t>Vector is Parkar's intelligent IT operations and observability layer. It keeps cloud, applications and AI environments reliable and cost-efficient.</w:t>
      </w:r>
    </w:p>
    <w:p>
      <w:pPr>
        <w:pStyle w:val="ListBullet"/>
      </w:pPr>
      <w:r>
        <w:t>Unified, multi-cloud observability and AIOps correlation.</w:t>
      </w:r>
    </w:p>
    <w:p>
      <w:pPr>
        <w:pStyle w:val="ListBullet"/>
      </w:pPr>
      <w:r>
        <w:t>Alert noise reduction and root-cause analysis.</w:t>
      </w:r>
    </w:p>
    <w:p>
      <w:pPr>
        <w:pStyle w:val="ListBullet"/>
      </w:pPr>
      <w:r>
        <w:t>12+ data connectors for fast onboarding.</w:t>
      </w:r>
    </w:p>
    <w:p>
      <w:pPr>
        <w:pStyle w:val="ListBullet"/>
      </w:pPr>
      <w:r>
        <w:t>Cost and performance optimisation across environments.</w:t>
      </w:r>
    </w:p>
    <w:p>
      <w:pPr>
        <w:pStyle w:val="Heading1"/>
      </w:pPr>
      <w:r>
        <w:rPr>
          <w:color w:val="0B1F3A"/>
        </w:rPr>
        <w:t>Vector Platform &amp; Integrations</w:t>
      </w:r>
    </w:p>
    <w:p>
      <w:r>
        <w:t>The Vector platform exposes integrations across monitoring, logging, cloud and ITSM systems, consolidating signals into a single operational picture. Details are on the Vector pages at parkar.in/platforms/vector.</w:t>
      </w:r>
    </w:p>
    <w:p>
      <w:pPr>
        <w:pStyle w:val="Heading1"/>
      </w:pPr>
      <w:r>
        <w:rPr>
          <w:color w:val="0B1F3A"/>
        </w:rPr>
        <w:t>Designed to Work Together</w:t>
      </w:r>
    </w:p>
    <w:p>
      <w:r>
        <w:t>AIONIQ and Vector are designed to work together but each delivers standalone value. Parkar recommends the right fit based on a client's priorities.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