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Parkar Solutions &amp; Practice Areas</w:t>
      </w:r>
    </w:p>
    <w:p>
      <w:r>
        <w:rPr>
          <w:i/>
          <w:color w:val="00C4A7"/>
          <w:sz w:val="24"/>
        </w:rPr>
        <w:t>Five integrated practices that ship enterprise AI to production</w:t>
      </w:r>
    </w:p>
    <w:p>
      <w:pPr>
        <w:pStyle w:val="Heading1"/>
      </w:pPr>
      <w:r>
        <w:rPr>
          <w:color w:val="0B1F3A"/>
        </w:rPr>
        <w:t>Agentic AI</w:t>
      </w:r>
    </w:p>
    <w:p>
      <w:r>
        <w:t>We design and deploy autonomous, purposeful, governed AI agents — from copilots to multi-agent systems — that are connected to enterprise systems and accountable in production.</w:t>
      </w:r>
    </w:p>
    <w:p>
      <w:pPr>
        <w:pStyle w:val="Heading1"/>
      </w:pPr>
      <w:r>
        <w:rPr>
          <w:color w:val="0B1F3A"/>
        </w:rPr>
        <w:t>Data Engineering</w:t>
      </w:r>
    </w:p>
    <w:p>
      <w:r>
        <w:t>Trusted, governed and connected data foundations: pipelines, lakehouse and data fabric/mesh architectures on Azure, AWS, Databricks and Snowflake that make data accurate, accessible and observable.</w:t>
      </w:r>
    </w:p>
    <w:p>
      <w:pPr>
        <w:pStyle w:val="Heading1"/>
      </w:pPr>
      <w:r>
        <w:rPr>
          <w:color w:val="0B1F3A"/>
        </w:rPr>
        <w:t>Cloud</w:t>
      </w:r>
    </w:p>
    <w:p>
      <w:r>
        <w:t>Scalable, secure and optimised cloud: migration, landing zones, modernization and cost optimization that make environments resilient, portable and multi-cloud ready.</w:t>
      </w:r>
    </w:p>
    <w:p>
      <w:pPr>
        <w:pStyle w:val="Heading1"/>
      </w:pPr>
      <w:r>
        <w:rPr>
          <w:color w:val="0B1F3A"/>
        </w:rPr>
        <w:t>Applications</w:t>
      </w:r>
    </w:p>
    <w:p>
      <w:r>
        <w:t>Modern, composable, cloud-native application engineering: microservices, low-code where it fits, and maintainable, performant, secure software.</w:t>
      </w:r>
    </w:p>
    <w:p>
      <w:pPr>
        <w:pStyle w:val="Heading1"/>
      </w:pPr>
      <w:r>
        <w:rPr>
          <w:color w:val="0B1F3A"/>
        </w:rPr>
        <w:t>IT Operations</w:t>
      </w:r>
    </w:p>
    <w:p>
      <w:r>
        <w:t>Resilient, automated and proactive operations powered by Vector — observable, responsive and reliable, reducing alert fatigue and improving application performance.</w:t>
      </w:r>
    </w:p>
    <w:p>
      <w:pPr>
        <w:pStyle w:val="Heading1"/>
      </w:pPr>
      <w:r>
        <w:rPr>
          <w:color w:val="0B1F3A"/>
        </w:rPr>
        <w:t>One Integrated Programme</w:t>
      </w:r>
    </w:p>
    <w:p>
      <w:r>
        <w:t>Each practice works as a standalone engagement or as one integrated programme. Many clients start with one area and expand — 95% of clients return for the next programme. Clients can engage any scope they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