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1F3A"/>
        </w:rPr>
        <w:t>Parkar Teams &amp; Leadership</w:t>
      </w:r>
    </w:p>
    <w:p>
      <w:r>
        <w:rPr>
          <w:i/>
          <w:color w:val="00C4A7"/>
          <w:sz w:val="24"/>
        </w:rPr>
        <w:t>How Parkar is organised to deliver enterprise AI</w:t>
      </w:r>
    </w:p>
    <w:p>
      <w:pPr>
        <w:pStyle w:val="Heading1"/>
      </w:pPr>
      <w:r>
        <w:rPr>
          <w:color w:val="0B1F3A"/>
        </w:rPr>
        <w:t>How We're Organised</w:t>
      </w:r>
    </w:p>
    <w:p>
      <w:r>
        <w:t>Parkar is organised around five core practice areas supported by platform engineering, delivery, and corporate functions. Cross-functional pods bring data, cloud, applications, IT operations and agentic AI specialists together on each engagement.</w:t>
      </w:r>
    </w:p>
    <w:p>
      <w:pPr>
        <w:pStyle w:val="Heading1"/>
      </w:pPr>
      <w:r>
        <w:rPr>
          <w:color w:val="0B1F3A"/>
        </w:rPr>
        <w:t>Practice Teams</w:t>
      </w:r>
    </w:p>
    <w:p>
      <w:pPr>
        <w:pStyle w:val="ListBullet"/>
      </w:pPr>
      <w:r>
        <w:t>Agentic AI — designing and shipping autonomous, governed AI agents and copilots.</w:t>
      </w:r>
    </w:p>
    <w:p>
      <w:pPr>
        <w:pStyle w:val="ListBullet"/>
      </w:pPr>
      <w:r>
        <w:t>Data Engineering — pipelines, lakehouse, data fabric and analytics foundations.</w:t>
      </w:r>
    </w:p>
    <w:p>
      <w:pPr>
        <w:pStyle w:val="ListBullet"/>
      </w:pPr>
      <w:r>
        <w:t>Cloud — migration, landing zones, modernization and cost optimization.</w:t>
      </w:r>
    </w:p>
    <w:p>
      <w:pPr>
        <w:pStyle w:val="ListBullet"/>
      </w:pPr>
      <w:r>
        <w:t>Applications — cloud-native, composable and modern application engineering.</w:t>
      </w:r>
    </w:p>
    <w:p>
      <w:pPr>
        <w:pStyle w:val="ListBullet"/>
      </w:pPr>
      <w:r>
        <w:t>IT Operations (Vector) — AIOps, observability and reliability.</w:t>
      </w:r>
    </w:p>
    <w:p>
      <w:pPr>
        <w:pStyle w:val="Heading1"/>
      </w:pPr>
      <w:r>
        <w:rPr>
          <w:color w:val="0B1F3A"/>
        </w:rPr>
        <w:t>Platform &amp; Engineering</w:t>
      </w:r>
    </w:p>
    <w:p>
      <w:r>
        <w:t>Dedicated platform teams build and maintain AIONIQ (the AI operating model platform) and Vector (intelligent IT operations and observability). These teams turn repeatable delivery patterns into product capability.</w:t>
      </w:r>
    </w:p>
    <w:p>
      <w:pPr>
        <w:pStyle w:val="Heading1"/>
      </w:pPr>
      <w:r>
        <w:rPr>
          <w:color w:val="0B1F3A"/>
        </w:rPr>
        <w:t>Leadership</w:t>
      </w:r>
    </w:p>
    <w:p>
      <w:r>
        <w:t>Parkar's leadership team spans engineering, delivery, product, industry domains and corporate functions. Leadership profiles and the latest organisational details are published on the Leadership page at parkar.in/company/leadership.</w:t>
      </w:r>
    </w:p>
    <w:p>
      <w:pPr>
        <w:pStyle w:val="Heading1"/>
      </w:pPr>
      <w:r>
        <w:rPr>
          <w:color w:val="0B1F3A"/>
        </w:rPr>
        <w:t>Global Delivery</w:t>
      </w:r>
    </w:p>
    <w:p>
      <w:r>
        <w:t>Parkar operates a global delivery model with teams supporting clients across time zones, including Global Capability Center (GCC) operations in India.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