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1F3A"/>
        </w:rPr>
        <w:t>Parkar Upcoming Projects &amp; Initiatives</w:t>
      </w:r>
    </w:p>
    <w:p>
      <w:r>
        <w:rPr>
          <w:i/>
          <w:color w:val="00C4A7"/>
          <w:sz w:val="24"/>
        </w:rPr>
        <w:t>Forward-looking programmes across platforms, delivery and R&amp;D</w:t>
      </w:r>
    </w:p>
    <w:p>
      <w:r>
        <w:rPr>
          <w:b/>
          <w:sz w:val="18"/>
        </w:rPr>
        <w:t>INTERNAL SAMPLE DOCUMENT — representative content for the AI knowledge base. Replace with the authoritative HR/Operations version before relying on it.</w:t>
      </w:r>
    </w:p>
    <w:p>
      <w:pPr>
        <w:pStyle w:val="Heading1"/>
      </w:pPr>
      <w:r>
        <w:rPr>
          <w:color w:val="0B1F3A"/>
        </w:rPr>
        <w:t>Platform Roadmap</w:t>
      </w:r>
    </w:p>
    <w:p>
      <w:pPr>
        <w:pStyle w:val="ListBullet"/>
      </w:pPr>
      <w:r>
        <w:t>AIONIQ v-next: expanded agentic workflow library and a self-serve AI Readiness Assessment.</w:t>
      </w:r>
    </w:p>
    <w:p>
      <w:pPr>
        <w:pStyle w:val="ListBullet"/>
      </w:pPr>
      <w:r>
        <w:t>Vector 2.x: deeper multi-cloud observability correlation and 1,000+ MCP server integrations.</w:t>
      </w:r>
    </w:p>
    <w:p>
      <w:pPr>
        <w:pStyle w:val="ListBullet"/>
      </w:pPr>
      <w:r>
        <w:t>Expanded connector catalogue for data onboarding across enterprise SaaS systems.</w:t>
      </w:r>
    </w:p>
    <w:p>
      <w:pPr>
        <w:pStyle w:val="Heading1"/>
      </w:pPr>
      <w:r>
        <w:rPr>
          <w:color w:val="0B1F3A"/>
        </w:rPr>
        <w:t>Delivery Programmes (Representative)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Initiative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Focus 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Stage</w:t>
            </w:r>
          </w:p>
        </w:tc>
      </w:tr>
      <w:tr>
        <w:tc>
          <w:tcPr>
            <w:tcW w:type="dxa" w:w="2880"/>
          </w:tcPr>
          <w:p>
            <w:r>
              <w:t>Gen AI Studio rollout</w:t>
            </w:r>
          </w:p>
        </w:tc>
        <w:tc>
          <w:tcPr>
            <w:tcW w:type="dxa" w:w="2880"/>
          </w:tcPr>
          <w:p>
            <w:r>
              <w:t>Agentic AI / GCC</w:t>
            </w:r>
          </w:p>
        </w:tc>
        <w:tc>
          <w:tcPr>
            <w:tcW w:type="dxa" w:w="2880"/>
          </w:tcPr>
          <w:p>
            <w:r>
              <w:t>Scaling</w:t>
            </w:r>
          </w:p>
        </w:tc>
      </w:tr>
      <w:tr>
        <w:tc>
          <w:tcPr>
            <w:tcW w:type="dxa" w:w="2880"/>
          </w:tcPr>
          <w:p>
            <w:r>
              <w:t>Real-time AI Ops</w:t>
            </w:r>
          </w:p>
        </w:tc>
        <w:tc>
          <w:tcPr>
            <w:tcW w:type="dxa" w:w="2880"/>
          </w:tcPr>
          <w:p>
            <w:r>
              <w:t>IT Operations</w:t>
            </w:r>
          </w:p>
        </w:tc>
        <w:tc>
          <w:tcPr>
            <w:tcW w:type="dxa" w:w="2880"/>
          </w:tcPr>
          <w:p>
            <w:r>
              <w:t>In delivery</w:t>
            </w:r>
          </w:p>
        </w:tc>
      </w:tr>
      <w:tr>
        <w:tc>
          <w:tcPr>
            <w:tcW w:type="dxa" w:w="2880"/>
          </w:tcPr>
          <w:p>
            <w:r>
              <w:t>Enterprise data fabric</w:t>
            </w:r>
          </w:p>
        </w:tc>
        <w:tc>
          <w:tcPr>
            <w:tcW w:type="dxa" w:w="2880"/>
          </w:tcPr>
          <w:p>
            <w:r>
              <w:t>Data Engineering</w:t>
            </w:r>
          </w:p>
        </w:tc>
        <w:tc>
          <w:tcPr>
            <w:tcW w:type="dxa" w:w="2880"/>
          </w:tcPr>
          <w:p>
            <w:r>
              <w:t>Discovery</w:t>
            </w:r>
          </w:p>
        </w:tc>
      </w:tr>
      <w:tr>
        <w:tc>
          <w:tcPr>
            <w:tcW w:type="dxa" w:w="2880"/>
          </w:tcPr>
          <w:p>
            <w:r>
              <w:t>Healthcare population-health insights</w:t>
            </w:r>
          </w:p>
        </w:tc>
        <w:tc>
          <w:tcPr>
            <w:tcW w:type="dxa" w:w="2880"/>
          </w:tcPr>
          <w:p>
            <w:r>
              <w:t>Industries / Data</w:t>
            </w:r>
          </w:p>
        </w:tc>
        <w:tc>
          <w:tcPr>
            <w:tcW w:type="dxa" w:w="2880"/>
          </w:tcPr>
          <w:p>
            <w:r>
              <w:t>Pilot</w:t>
            </w:r>
          </w:p>
        </w:tc>
      </w:tr>
    </w:tbl>
    <w:p>
      <w:pPr>
        <w:pStyle w:val="Heading1"/>
      </w:pPr>
      <w:r>
        <w:rPr>
          <w:color w:val="0B1F3A"/>
        </w:rPr>
        <w:t>Research &amp; Innovation</w:t>
      </w:r>
    </w:p>
    <w:p>
      <w:pPr>
        <w:pStyle w:val="ListBullet"/>
      </w:pPr>
      <w:r>
        <w:t>Agent governance and observability: monitoring and accountability for fleets of AI agents.</w:t>
      </w:r>
    </w:p>
    <w:p>
      <w:pPr>
        <w:pStyle w:val="ListBullet"/>
      </w:pPr>
      <w:r>
        <w:t>Retrieval-augmented generation (RAG) accelerators for regulated industries.</w:t>
      </w:r>
    </w:p>
    <w:p>
      <w:pPr>
        <w:pStyle w:val="ListBullet"/>
      </w:pPr>
      <w:r>
        <w:t>Cost-optimisation tooling for cloud and data platforms.</w:t>
      </w:r>
    </w:p>
    <w:p>
      <w:pPr>
        <w:pStyle w:val="Heading1"/>
      </w:pPr>
      <w:r>
        <w:rPr>
          <w:color w:val="0B1F3A"/>
        </w:rPr>
        <w:t>Get Involved</w:t>
      </w:r>
    </w:p>
    <w:p>
      <w:r>
        <w:t>Employees can express interest in upcoming projects through their manager or the staffing/resourcing team. Clients interested in early-access programmes can contact their Parkar account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