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ETC2.0 Technical Session — Speaker Notepaper</w:t>
      </w:r>
    </w:p>
    <w:p>
      <w:r>
        <w:t>Use this as a speaking guide. Do not read it word-for-word; use the bold headings to keep the flow.</w:t>
      </w:r>
    </w:p>
    <w:p>
      <w:r>
        <w:rPr>
          <w:b/>
          <w:sz w:val="26"/>
        </w:rPr>
        <w:t>Opening</w:t>
      </w:r>
    </w:p>
    <w:p>
      <w:r>
        <w:rPr>
          <w:sz w:val="20"/>
        </w:rPr>
        <w:t>Today I’ll explain ETC2.0 from a technical point of view. The main goal is to understand what the Shasaiki does, what the RSU does, and how DSRC and the application layer fit together. I’ll also separate ETC card communication from vehicle-roadside communication.</w:t>
      </w:r>
    </w:p>
    <w:p>
      <w:r>
        <w:rPr>
          <w:b/>
          <w:sz w:val="26"/>
        </w:rPr>
        <w:t>What is ETC2.0?</w:t>
      </w:r>
    </w:p>
    <w:p>
      <w:r>
        <w:rPr>
          <w:sz w:val="20"/>
        </w:rPr>
        <w:t>ETC2.0 is not only a tolling upgrade. The important idea is bidirectional communication between roadside units and onboard units. That enables traffic, safety, route and probe-data services in addition to toll-related functions.</w:t>
      </w:r>
    </w:p>
    <w:p>
      <w:r>
        <w:rPr>
          <w:b/>
          <w:sz w:val="26"/>
        </w:rPr>
        <w:t>Architecture</w:t>
      </w:r>
    </w:p>
    <w:p>
      <w:r>
        <w:rPr>
          <w:sz w:val="20"/>
        </w:rPr>
        <w:t>There are three things to keep separate. The ETC card and OBU interact inside the vehicle equipment. The OBU communicates wirelessly with the RSU. The RSU connects to roadside systems. So the RSU does not directly communicate with the ETC card.</w:t>
      </w:r>
    </w:p>
    <w:p>
      <w:r>
        <w:rPr>
          <w:b/>
          <w:sz w:val="26"/>
        </w:rPr>
        <w:t>Shasaiki</w:t>
      </w:r>
    </w:p>
    <w:p>
      <w:r>
        <w:rPr>
          <w:sz w:val="20"/>
        </w:rPr>
        <w:t>車載器 means vehicle-mounted equipment. In this context, think of it as the ETC/ETC2.0 OBU. It contains the vehicle-side functions needed for ETC and DSRC services. The official ETC portal calls out an ETC2.0 vehicle-equipment DSRC section.</w:t>
      </w:r>
    </w:p>
    <w:p>
      <w:r>
        <w:rPr>
          <w:b/>
          <w:sz w:val="26"/>
        </w:rPr>
        <w:t>DSRC</w:t>
      </w:r>
    </w:p>
    <w:p>
      <w:r>
        <w:rPr>
          <w:sz w:val="20"/>
        </w:rPr>
        <w:t>DSRC stands for Dedicated Short-Range Communication. ARIB STD-T75 defines the radio interface between the roadside/base station and vehicle/mobile station. This is the communication link to focus on when we say OBU-to-RSU communication.</w:t>
      </w:r>
    </w:p>
    <w:p>
      <w:r>
        <w:rPr>
          <w:b/>
          <w:sz w:val="26"/>
        </w:rPr>
        <w:t>Standards map</w:t>
      </w:r>
    </w:p>
    <w:p>
      <w:r>
        <w:rPr>
          <w:sz w:val="20"/>
        </w:rPr>
        <w:t>The easiest memory aid is: T75 is the DSRC communication/radio interface; T88 is the DSRC application sub-layer; T110 provides basic application interfaces. The official ETC portal also references JEITA TT-6002A for the vehicle-equipment DSRC section.</w:t>
      </w:r>
    </w:p>
    <w:p>
      <w:r>
        <w:rPr>
          <w:b/>
          <w:sz w:val="26"/>
        </w:rPr>
        <w:t>Protocol stack</w:t>
      </w:r>
    </w:p>
    <w:p>
      <w:r>
        <w:rPr>
          <w:sz w:val="20"/>
        </w:rPr>
        <w:t>I should not mix layers. At the bottom is the radio/DSRC system. Above that is the DSRC application sub-layer. Above that are applications and services. This is a learning model; implementation details must follow the applicable project profile.</w:t>
      </w:r>
    </w:p>
    <w:p>
      <w:r>
        <w:rPr>
          <w:b/>
          <w:sz w:val="26"/>
        </w:rPr>
        <w:t>STD-T110</w:t>
      </w:r>
    </w:p>
    <w:p>
      <w:r>
        <w:rPr>
          <w:sz w:val="20"/>
        </w:rPr>
        <w:t>T110 defines six application interfaces. One is IC card access. That means the DSRC/application architecture can interact with an IC card through the vehicle equipment, but DSRC itself is not a card protocol.</w:t>
      </w:r>
    </w:p>
    <w:p>
      <w:r>
        <w:rPr>
          <w:b/>
          <w:sz w:val="26"/>
        </w:rPr>
        <w:t>ETC card</w:t>
      </w:r>
    </w:p>
    <w:p>
      <w:r>
        <w:rPr>
          <w:sz w:val="20"/>
        </w:rPr>
        <w:t>The key distinction is: card communication happens within the OBU context; ETC2.0 communication happens between OBU and RSU. So WUPA, ATQA, anticollision, SELECT or RATS should not be assumed to be DSRC messages.</w:t>
      </w:r>
    </w:p>
    <w:p>
      <w:r>
        <w:rPr>
          <w:b/>
          <w:sz w:val="26"/>
        </w:rPr>
        <w:t>Communication sequence</w:t>
      </w:r>
    </w:p>
    <w:p>
      <w:r>
        <w:rPr>
          <w:sz w:val="20"/>
        </w:rPr>
        <w:t>This is a simplified learning sequence, not a claim about every exact message. The vehicle enters the RSU area, DSRC communication is established, an application/service is invoked, data is exchanged, and communication ends. Exact frames and timing must come from the project trace and standards.</w:t>
      </w:r>
    </w:p>
    <w:p>
      <w:r>
        <w:rPr>
          <w:b/>
          <w:sz w:val="26"/>
        </w:rPr>
        <w:t>Probe data</w:t>
      </w:r>
    </w:p>
    <w:p>
      <w:r>
        <w:rPr>
          <w:sz w:val="20"/>
        </w:rPr>
        <w:t>NILIM says the OBU can accumulate travel history and behavior history. When the vehicle passes an RSU, probe information can be collected with user consent. NILIM gives approximate storage of 80 km travel history and 31 behavior-history events, with older data overwritten.</w:t>
      </w:r>
    </w:p>
    <w:p>
      <w:r>
        <w:rPr>
          <w:b/>
          <w:sz w:val="26"/>
        </w:rPr>
        <w:t>Failure analysis</w:t>
      </w:r>
    </w:p>
    <w:p>
      <w:r>
        <w:rPr>
          <w:sz w:val="20"/>
        </w:rPr>
        <w:t>A communication failure does not automatically mean application software is wrong. Official rules mention RF/environmental factors such as metal reflection, nearby vehicles, multiple onboard units, antenna obstruction and heat-reflective glass. Debug by layer.</w:t>
      </w:r>
    </w:p>
    <w:p>
      <w:r>
        <w:rPr>
          <w:b/>
          <w:sz w:val="26"/>
        </w:rPr>
        <w:t>Testing</w:t>
      </w:r>
    </w:p>
    <w:p>
      <w:r>
        <w:rPr>
          <w:sz w:val="20"/>
        </w:rPr>
        <w:t>ARIB TR-T16 is the compatibility-confirmation procedure associated with STD-T75. A useful engineering split is RF/link, DSRC protocol, application, OBU/card, and backend.</w:t>
      </w:r>
    </w:p>
    <w:p>
      <w:r>
        <w:rPr>
          <w:b/>
          <w:sz w:val="26"/>
        </w:rPr>
        <w:t>Connection to card work</w:t>
      </w:r>
    </w:p>
    <w:p>
      <w:r>
        <w:rPr>
          <w:sz w:val="20"/>
        </w:rPr>
        <w:t>Existing card knowledge is useful for ISO 7816, APDUs, card state, crypto and timing. ETC2.0 adds a vehicle-roadside DSRC layer. T110 is one place where these worlds meet because it includes IC-card access.</w:t>
      </w:r>
    </w:p>
    <w:p>
      <w:r>
        <w:rPr>
          <w:b/>
          <w:sz w:val="26"/>
        </w:rPr>
        <w:t>Closing</w:t>
      </w:r>
    </w:p>
    <w:p>
      <w:r>
        <w:rPr>
          <w:sz w:val="20"/>
        </w:rPr>
        <w:t>If I remember only seven things: ETC2.0 is bidirectional vehicle-road communication; Shasaiki is the OBU; RSU is the roadside/base station; T75 is the DSRC interface; T88 is the application sub-layer; T110 defines application interfaces including IC-card access; and exact project traces are the next thing to study.</w:t>
      </w:r>
    </w:p>
    <w:p>
      <w:pPr>
        <w:pStyle w:val="Heading1"/>
      </w:pPr>
      <w:r>
        <w:t>Official references</w:t>
      </w:r>
    </w:p>
    <w:p>
      <w:r>
        <w:t>MLIT/NILIM ETC2.0 Probe Information: https://www.nilim.go.jp/lab/qcg/research/etc-2.0_en.html</w:t>
      </w:r>
    </w:p>
    <w:p>
      <w:r>
        <w:t>ARIB STD-T75: https://www.arib.or.jp/english/std_tr/telecommunications/desc/std-t75.html</w:t>
      </w:r>
    </w:p>
    <w:p>
      <w:r>
        <w:t>ARIB STD-T88: https://www.arib.or.jp/english/std_tr/telecommunications/desc/std-t88.html</w:t>
      </w:r>
    </w:p>
    <w:p>
      <w:r>
        <w:t>ARIB STD-T110: https://www.arib.or.jp/english/std_tr/telecommunications/desc/std-t110.html</w:t>
      </w:r>
    </w:p>
    <w:p>
      <w:r>
        <w:t>Official ETC2.0 vehicle DSRC rules: https://www.go-etc.jp/learn/kitei/kitei_dsrc</w:t>
      </w:r>
    </w:p>
    <w:p>
      <w:r>
        <w:t>ARIB TR-T16: https://www.arib.or.jp/english/std_tr/telecommunications/desc/tr-t16.html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