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Marketplace Seller Governance &amp; Risk Intelligence Dashboard</w:t>
      </w:r>
    </w:p>
    <w:p>
      <w:pPr>
        <w:pStyle w:val="CustomSubtitle"/>
        <w:jc w:val="center"/>
      </w:pPr>
      <w:r>
        <w:t>Project report prepared from the uploaded Excel workbook for GitHub and company submission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EEF3F8"/>
            <w:vAlign w:val="center"/>
          </w:tcPr>
          <w:p>
            <w:r/>
            <w:r>
              <w:rPr>
                <w:rFonts w:ascii="Aptos" w:hAnsi="Aptos"/>
                <w:b w:val="0"/>
                <w:sz w:val="21"/>
              </w:rPr>
              <w:t>This project develops a seller-level governance and risk intelligence dashboard for an e-commerce marketplace. The workbook integrates 100 seller records, 479 governance observations, 1646 violation records, and 1800 supplier-risk records into a unified risk scoring model covering 2021-2025. The final output classifies each seller-year record into Low, Medium, or High risk using explainable rule-based flags and a weighted score.</w:t>
            </w:r>
          </w:p>
        </w:tc>
      </w:tr>
    </w:tbl>
    <w:p>
      <w:pPr>
        <w:pStyle w:val="CustomH1"/>
      </w:pPr>
      <w:r>
        <w:t>1. Project overview</w:t>
      </w:r>
    </w:p>
    <w:p>
      <w:r>
        <w:t>The workbook is not just a dashboard file. It is a full analytical pipeline built in Excel. It starts with raw source tables, moves through cleaned datasets, aggregates violation history at seller-year level, and ends with a seller risk scoring engine plus reporting views for management.</w:t>
      </w:r>
    </w:p>
    <w:p>
      <w:pPr>
        <w:ind w:left="360" w:hanging="216"/>
      </w:pPr>
      <w:r>
        <w:rPr>
          <w:b/>
        </w:rPr>
        <w:t xml:space="preserve">• </w:t>
      </w:r>
      <w:r>
        <w:t>Business domain: e-commerce marketplace governance, compliance, and seller monitoring</w:t>
      </w:r>
    </w:p>
    <w:p>
      <w:pPr>
        <w:ind w:left="360" w:hanging="216"/>
      </w:pPr>
      <w:r>
        <w:rPr>
          <w:b/>
        </w:rPr>
        <w:t xml:space="preserve">• </w:t>
      </w:r>
      <w:r>
        <w:t>Primary output: seller-level risk classification for decision support</w:t>
      </w:r>
    </w:p>
    <w:p>
      <w:pPr>
        <w:ind w:left="360" w:hanging="216"/>
      </w:pPr>
      <w:r>
        <w:rPr>
          <w:b/>
        </w:rPr>
        <w:t xml:space="preserve">• </w:t>
      </w:r>
      <w:r>
        <w:t>Main audience: compliance teams, marketplace operations, governance analysts, and business managers</w:t>
      </w:r>
    </w:p>
    <w:p>
      <w:pPr>
        <w:pStyle w:val="CustomH1"/>
      </w:pPr>
      <w:r>
        <w:t>2. Workbook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vAlign w:val="center"/>
            <w:shd w:fill="1B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032"/>
            <w:vAlign w:val="center"/>
            <w:shd w:fill="1B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Sheets</w:t>
            </w:r>
          </w:p>
        </w:tc>
        <w:tc>
          <w:tcPr>
            <w:tcW w:type="dxa" w:w="4320"/>
            <w:vAlign w:val="center"/>
            <w:shd w:fill="1B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Raw data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Raw_Violation_Log; Raw_Governance_Metrics; Raw_Seller_Master; Raw_Supplier_Risk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Stores source data before transformation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Cleaned data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Cleaned_Violation_Log; Cleaned_Governance_Metrics; Cleaned_Seller_Master; Cleaned_Supplier_Risk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Provides standardized analysis-ready datasets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Intermediate logic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Violation_Summary_Seller_Year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Aggregates violation records to seller-year level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Final model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Seller_Risk_Analysis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Joins governance, seller, and violation information and calculates final risk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Reporting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Pivot_Risk_Reports; Dashboard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Supports summary analysis and business-facing visualization</w:t>
            </w:r>
          </w:p>
        </w:tc>
      </w:tr>
    </w:tbl>
    <w:p>
      <w:pPr>
        <w:pStyle w:val="CustomH1"/>
      </w:pPr>
      <w:r>
        <w:t>3. Analytical method</w:t>
      </w:r>
    </w:p>
    <w:p>
      <w:r>
        <w:t>The core analytical design is a rule-based and explainable scoring model. This is a strength for a portfolio project because the logic is transparent and easy to audit.</w:t>
      </w:r>
    </w:p>
    <w:p>
      <w:pPr>
        <w:pStyle w:val="CustomH2"/>
      </w:pPr>
      <w:r>
        <w:t>Risk flags used in the scoring model</w:t>
      </w:r>
    </w:p>
    <w:p>
      <w:pPr>
        <w:ind w:left="360" w:hanging="216"/>
      </w:pPr>
      <w:r>
        <w:rPr>
          <w:b/>
        </w:rPr>
        <w:t xml:space="preserve">• </w:t>
      </w:r>
      <w:r>
        <w:t>Refund Risk Flag: 2 if refund rate is at least 10%, 1 if at least 5%, else 0.</w:t>
      </w:r>
    </w:p>
    <w:p>
      <w:pPr>
        <w:ind w:left="360" w:hanging="216"/>
      </w:pPr>
      <w:r>
        <w:rPr>
          <w:b/>
        </w:rPr>
        <w:t xml:space="preserve">• </w:t>
      </w:r>
      <w:r>
        <w:t>User Report Risk Flag: 2 if user reports are at least 8, 1 if at least 4, else 0.</w:t>
      </w:r>
    </w:p>
    <w:p>
      <w:pPr>
        <w:ind w:left="360" w:hanging="216"/>
      </w:pPr>
      <w:r>
        <w:rPr>
          <w:b/>
        </w:rPr>
        <w:t xml:space="preserve">• </w:t>
      </w:r>
      <w:r>
        <w:t>Violation Severity Flag: based on critical or high-severity open violations and overall violation count.</w:t>
      </w:r>
    </w:p>
    <w:p>
      <w:pPr>
        <w:ind w:left="360" w:hanging="216"/>
      </w:pPr>
      <w:r>
        <w:rPr>
          <w:b/>
        </w:rPr>
        <w:t xml:space="preserve">• </w:t>
      </w:r>
      <w:r>
        <w:t>Fraud Concern Flag: based on fraud flags and fraud-linked violations.</w:t>
      </w:r>
    </w:p>
    <w:p>
      <w:pPr>
        <w:ind w:left="360" w:hanging="216"/>
      </w:pPr>
      <w:r>
        <w:rPr>
          <w:b/>
        </w:rPr>
        <w:t xml:space="preserve">• </w:t>
      </w:r>
      <w:r>
        <w:t>Governance Action Severity Flag: based on governance outcomes such as Suspended, Restricted, Watchlist, and Review Required.</w:t>
      </w:r>
    </w:p>
    <w:p>
      <w:pPr>
        <w:pStyle w:val="CustomH2"/>
      </w:pPr>
      <w:r>
        <w:t>Weighted score</w:t>
      </w:r>
    </w:p>
    <w:p>
      <w:r>
        <w:t>The workbook uses the following weighted score: (Refund Risk Flag × 25) + (User Report Risk Flag × 25) + (Violation Severity Flag × 20) + (Fraud Concern Flag × 20) + (Governance Action Severity Flag × 10).</w:t>
      </w:r>
    </w:p>
    <w:p>
      <w:r>
        <w:t>Final classification thresholds are defined as High Risk for scores of 120 or above, Medium Risk for scores from 60 to 119, and Low Risk below 60.</w:t>
      </w:r>
    </w:p>
    <w:p>
      <w:pPr>
        <w:pStyle w:val="CustomH1"/>
      </w:pPr>
      <w:r>
        <w:t>4. Key project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B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968"/>
            <w:vAlign w:val="center"/>
            <w:shd w:fill="1B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Unique sellers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100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Seller-year records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479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Violation records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1646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Governance metric records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479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Supplier risk records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1800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Analysis period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2021-2025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High risk observations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308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Medium risk observations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146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Low risk observations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25</w:t>
            </w:r>
          </w:p>
        </w:tc>
      </w:tr>
    </w:tbl>
    <w:p>
      <w:pPr>
        <w:pStyle w:val="CustomH1"/>
      </w:pPr>
      <w:r>
        <w:t>5. Findings visible from the workbook</w:t>
      </w:r>
    </w:p>
    <w:p>
      <w:pPr>
        <w:ind w:left="360" w:hanging="216"/>
      </w:pPr>
      <w:r>
        <w:rPr>
          <w:b/>
        </w:rPr>
        <w:t xml:space="preserve">• </w:t>
      </w:r>
      <w:r>
        <w:t>High-risk cases dominate the portfolio: 308 out of 479 seller-year observations (64.3%).</w:t>
      </w:r>
    </w:p>
    <w:p>
      <w:pPr>
        <w:ind w:left="360" w:hanging="216"/>
      </w:pPr>
      <w:r>
        <w:rPr>
          <w:b/>
        </w:rPr>
        <w:t xml:space="preserve">• </w:t>
      </w:r>
      <w:r>
        <w:t>The share of high-risk sellers increases from 58.8% in 2021 to 75.5% in 2025, showing a materially riskier portfolio in the latest year.</w:t>
      </w:r>
    </w:p>
    <w:p>
      <w:pPr>
        <w:ind w:left="360" w:hanging="216"/>
      </w:pPr>
      <w:r>
        <w:rPr>
          <w:b/>
        </w:rPr>
        <w:t xml:space="preserve">• </w:t>
      </w:r>
      <w:r>
        <w:t>Average refund rate is clearly aligned with final classification: High risk 7.17%, Medium risk 4.79%, Low risk 3.25%.</w:t>
      </w:r>
    </w:p>
    <w:p>
      <w:pPr>
        <w:ind w:left="360" w:hanging="216"/>
      </w:pPr>
      <w:r>
        <w:rPr>
          <w:b/>
        </w:rPr>
        <w:t xml:space="preserve">• </w:t>
      </w:r>
      <w:r>
        <w:t>High-risk sellers also carry heavier behavioral signals, with average user reports of 20.9 and average violation count of 4.3.</w:t>
      </w:r>
    </w:p>
    <w:p>
      <w:pPr>
        <w:ind w:left="360" w:hanging="216"/>
      </w:pPr>
      <w:r>
        <w:rPr>
          <w:b/>
        </w:rPr>
        <w:t xml:space="preserve">• </w:t>
      </w:r>
      <w:r>
        <w:t>The dashboard is therefore not cosmetic; the classification is anchored in measurable operational, compliance, and fraud-related signals.</w:t>
      </w:r>
    </w:p>
    <w:p>
      <w:pPr>
        <w:pStyle w:val="CustomH1"/>
      </w:pPr>
      <w:r>
        <w:t>6. Why this project is portfolio-worthy</w:t>
      </w:r>
    </w:p>
    <w:p>
      <w:pPr>
        <w:ind w:left="360" w:hanging="216"/>
      </w:pPr>
      <w:r>
        <w:rPr>
          <w:b/>
        </w:rPr>
        <w:t xml:space="preserve">• </w:t>
      </w:r>
      <w:r>
        <w:t>It shows end-to-end thinking: data ingestion, cleaning, joining, scoring, and reporting in one workbook.</w:t>
      </w:r>
    </w:p>
    <w:p>
      <w:pPr>
        <w:ind w:left="360" w:hanging="216"/>
      </w:pPr>
      <w:r>
        <w:rPr>
          <w:b/>
        </w:rPr>
        <w:t xml:space="preserve">• </w:t>
      </w:r>
      <w:r>
        <w:t>It solves a real business problem with a clear governance and compliance use case.</w:t>
      </w:r>
    </w:p>
    <w:p>
      <w:pPr>
        <w:ind w:left="360" w:hanging="216"/>
      </w:pPr>
      <w:r>
        <w:rPr>
          <w:b/>
        </w:rPr>
        <w:t xml:space="preserve">• </w:t>
      </w:r>
      <w:r>
        <w:t>It demonstrates analytical judgement through threshold design and weighted risk logic.</w:t>
      </w:r>
    </w:p>
    <w:p>
      <w:pPr>
        <w:ind w:left="360" w:hanging="216"/>
      </w:pPr>
      <w:r>
        <w:rPr>
          <w:b/>
        </w:rPr>
        <w:t xml:space="preserve">• </w:t>
      </w:r>
      <w:r>
        <w:t>It is explainable. A reviewer can follow how each classification is generated.</w:t>
      </w:r>
    </w:p>
    <w:p>
      <w:pPr>
        <w:ind w:left="360" w:hanging="216"/>
      </w:pPr>
      <w:r>
        <w:rPr>
          <w:b/>
        </w:rPr>
        <w:t xml:space="preserve">• </w:t>
      </w:r>
      <w:r>
        <w:t>It is presentation-ready because the workbook includes pivot-based reporting and a dashboard layer.</w:t>
      </w:r>
    </w:p>
    <w:p>
      <w:pPr>
        <w:pStyle w:val="CustomH1"/>
      </w:pPr>
      <w:r>
        <w:t>7. Recommended GitHub packaging</w:t>
      </w:r>
    </w:p>
    <w:p>
      <w:r>
        <w:t>The current file-style naming is weak for a portfolio repository. The repository should be renamed to 'marketplace-governance-risk-dashboard' and presented under the title 'Marketplace Seller Governance &amp; Risk Intelligence Dashboard'.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B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968"/>
            <w:vAlign w:val="center"/>
            <w:shd w:fill="1B365D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Repository 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marketplace-governance-risk-dashboard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Display title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Marketplace Seller Governance &amp; Risk Intelligence Dashboard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Root files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README.md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reports/ folder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Formal project report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assets/ folder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Final Excel workbook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screenshots/ folder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Dashboard preview images for quick review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docs/ folder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Submission guide or supporting notes</w:t>
            </w:r>
          </w:p>
        </w:tc>
      </w:tr>
    </w:tbl>
    <w:p>
      <w:pPr>
        <w:pStyle w:val="CustomH1"/>
      </w:pPr>
      <w:r>
        <w:t>8. Final submission advice</w:t>
      </w:r>
    </w:p>
    <w:p>
      <w:r>
        <w:t>Do not overcomplicate the submission. The project already works. The job now is packaging. Your GitHub repository should look deliberate, clean, and professional. A recruiter or hiring manager should understand the business problem, data structure, analytical logic, and value of the dashboard in under two minutes.</w:t>
      </w:r>
    </w:p>
    <w:p>
      <w:pPr>
        <w:ind w:left="360" w:hanging="216"/>
      </w:pPr>
      <w:r>
        <w:rPr>
          <w:b/>
        </w:rPr>
        <w:t xml:space="preserve">• </w:t>
      </w:r>
      <w:r>
        <w:t>Upload the workbook exactly once in a clean assets folder.</w:t>
      </w:r>
    </w:p>
    <w:p>
      <w:pPr>
        <w:ind w:left="360" w:hanging="216"/>
      </w:pPr>
      <w:r>
        <w:rPr>
          <w:b/>
        </w:rPr>
        <w:t xml:space="preserve">• </w:t>
      </w:r>
      <w:r>
        <w:t>Add a proper README instead of relying on the file name to explain the work.</w:t>
      </w:r>
    </w:p>
    <w:p>
      <w:pPr>
        <w:ind w:left="360" w:hanging="216"/>
      </w:pPr>
      <w:r>
        <w:rPr>
          <w:b/>
        </w:rPr>
        <w:t xml:space="preserve">• </w:t>
      </w:r>
      <w:r>
        <w:t>Include at least one screenshot so reviewers can preview the dashboard without downloading the workbook.</w:t>
      </w:r>
    </w:p>
    <w:p>
      <w:pPr>
        <w:ind w:left="360" w:hanging="216"/>
      </w:pPr>
      <w:r>
        <w:rPr>
          <w:b/>
        </w:rPr>
        <w:t xml:space="preserve">• </w:t>
      </w:r>
      <w:r>
        <w:t>Use the repository link when sending the project to the company.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Aptos" w:hAnsi="Aptos"/>
      <w:b/>
      <w:color w:val="1B365D"/>
      <w:sz w:val="44"/>
    </w:rPr>
  </w:style>
  <w:style w:type="paragraph" w:customStyle="1" w:styleId="CustomSubtitle">
    <w:name w:val="CustomSubtitle"/>
    <w:rPr>
      <w:rFonts w:ascii="Aptos" w:hAnsi="Aptos"/>
      <w:b w:val="0"/>
      <w:color w:val="636363"/>
      <w:sz w:val="22"/>
    </w:rPr>
  </w:style>
  <w:style w:type="paragraph" w:customStyle="1" w:styleId="CustomH1">
    <w:name w:val="CustomH1"/>
    <w:rPr>
      <w:rFonts w:ascii="Aptos" w:hAnsi="Aptos"/>
      <w:b/>
      <w:color w:val="1B365D"/>
      <w:sz w:val="30"/>
    </w:rPr>
  </w:style>
  <w:style w:type="paragraph" w:customStyle="1" w:styleId="CustomH2">
    <w:name w:val="CustomH2"/>
    <w:rPr>
      <w:rFonts w:ascii="Aptos" w:hAnsi="Aptos"/>
      <w:b/>
      <w:color w:val="1B365D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