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76855" w:rsidRPr="00B9210C" w:rsidRDefault="00B76855" w:rsidP="00B9210C">
      <w:pPr>
        <w:rPr>
          <w:rFonts w:asciiTheme="majorHAnsi" w:hAnsiTheme="majorHAnsi" w:cstheme="majorHAnsi"/>
          <w:sz w:val="30"/>
          <w:szCs w:val="30"/>
        </w:rPr>
      </w:pPr>
    </w:p>
    <w:tbl>
      <w:tblPr>
        <w:tblStyle w:val="a"/>
        <w:tblW w:w="23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8"/>
        <w:gridCol w:w="3848"/>
        <w:gridCol w:w="3848"/>
        <w:gridCol w:w="3849"/>
        <w:gridCol w:w="3849"/>
        <w:gridCol w:w="3849"/>
      </w:tblGrid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proofErr w:type="spellStart"/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Req</w:t>
            </w:r>
            <w:proofErr w:type="spellEnd"/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 xml:space="preserve"> ID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Type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Description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Priority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Acceptance Criteria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b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b/>
                <w:sz w:val="30"/>
                <w:szCs w:val="30"/>
              </w:rPr>
              <w:t>Rationale</w:t>
            </w: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FR-001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maintain a time-credit balance for each member, crediting 1 hour upon verified completion of a teaching session.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High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Time credit transfers from learner to mentor after session sign-off.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Member with 0 credits books a session.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time-credit ledger is the core currency of the platform; without accurate crediting the exchange model collapses.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FR-002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Functi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allow learner members to search for skill mentors by skill category, availability, and mentor rating.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High</w:t>
            </w:r>
            <w:bookmarkStart w:id="0" w:name="_GoBack"/>
            <w:bookmarkEnd w:id="0"/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Search results return only mentors matching all applied filters, within 2 seconds.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Search returns mentors that do not match the applied filters, or times out.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Members need an efficient way to discover suitable mentors; poor discoverability directly reduces successful matches and platform adoption.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FR-003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allow a learner member to book a session with a mentor only if the learner has an available time-credit balance of at least 1 hour.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High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Booking is confirmed when the learner's balance is ≥ 1 credit.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A booking is created/confirmed for a learner with 0 available credits.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Prevents members from going into "credit debt," preserving the integrity of the barter/time-banking economy.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FR-004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lastRenderedPageBreak/>
              <w:t>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require mutual sign-off from both the learner member and the skill mentor confirming session completion before finalizing the time-credit transfer.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Medium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Credit transfer executes only after both parties confirm completion.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Credit transfers when only one party (or neither) has confirmed.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Mutual confirmation prevents disputes and fraudulent claims of session completion by either party.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lastRenderedPageBreak/>
              <w:t>FR-005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allow both the learner member and the skill mentor to submit a mutual feedback rating (1–5 stars, with optional comment) within 7 days of session completion.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Medium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A rating submitted within 7 days of sign-off is recorded and reflected on the counterpart's profile.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A rating is accepted and recorded after the 7-day window has closed.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Peer ratings build trust and let members make informed choices about future mentors/learners, sustaining marketplace quality.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NFR-001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Nonfunctional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session scheduling calendar must sync seamlessly with Google Calendar and Outlook via iCal export feeds.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High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Benchmarking tests confirm target latency and security standards under simulated peak load.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iCal sync latency or security checks fail under peak load simulation.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Reliable calendar sync is essential so members never miss or double-book sessions across the tools they already use daily.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  <w:tr w:rsidR="00B76855" w:rsidRPr="00B9210C"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NFR-002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Nonfunctional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The system shall encrypt all personally identifiable information (PII) and time-credit transaction records using AES-256 at rest and TLS 1.2+ in transit.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855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High</w:t>
            </w: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Pass: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A security audit / penetration test confirms all PII and transaction records are encrypted at rest and in transit, with no plaintext exposure.</w:t>
            </w:r>
          </w:p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br/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Fail:</w:t>
            </w: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 xml:space="preserve"> Any PII or transaction record is found unencrypted in storage or in transit logs.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  <w:tc>
          <w:tcPr>
            <w:tcW w:w="3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210C" w:rsidRPr="00B9210C" w:rsidRDefault="00B9210C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B9210C">
              <w:rPr>
                <w:rFonts w:asciiTheme="majorHAnsi" w:hAnsiTheme="majorHAnsi" w:cstheme="majorHAnsi"/>
                <w:sz w:val="30"/>
                <w:szCs w:val="30"/>
              </w:rPr>
              <w:t> Members' personal data and their time-credit "earnings" are sensitive assets; encryption protects user trust and supports data-protection compliance.</w:t>
            </w:r>
          </w:p>
          <w:p w:rsidR="00B76855" w:rsidRPr="00B9210C" w:rsidRDefault="00B76855" w:rsidP="00B9210C">
            <w:pPr>
              <w:rPr>
                <w:rFonts w:asciiTheme="majorHAnsi" w:hAnsiTheme="majorHAnsi" w:cstheme="majorHAnsi"/>
                <w:sz w:val="30"/>
                <w:szCs w:val="30"/>
              </w:rPr>
            </w:pPr>
          </w:p>
        </w:tc>
      </w:tr>
    </w:tbl>
    <w:p w:rsidR="00B76855" w:rsidRPr="00B9210C" w:rsidRDefault="00B76855" w:rsidP="00B9210C">
      <w:pPr>
        <w:rPr>
          <w:rFonts w:asciiTheme="majorHAnsi" w:hAnsiTheme="majorHAnsi" w:cstheme="majorHAnsi"/>
          <w:sz w:val="30"/>
          <w:szCs w:val="30"/>
        </w:rPr>
      </w:pPr>
    </w:p>
    <w:sectPr w:rsidR="00B76855" w:rsidRPr="00B9210C">
      <w:pgSz w:w="23811" w:h="16838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7BDF47-389E-402B-99EE-4CDB671DFAED}"/>
    <w:embedBold r:id="rId2" w:fontKey="{4B2C6143-580F-4AEB-9A48-9930BC91C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65708F-E8AD-4456-B54A-FC46E65CE7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855"/>
    <w:rsid w:val="00B76855"/>
    <w:rsid w:val="00B9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19434F-6F80-45CC-B759-EA898BFE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2026-08-27T17:31:00Z</dcterms:created>
  <dcterms:modified xsi:type="dcterms:W3CDTF">2026-08-27T17:38:00Z</dcterms:modified>
</cp:coreProperties>
</file>