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Seul Bike System</w:t>
      </w:r>
    </w:p>
    <w:bookmarkStart w:id="30" w:name="análisis-descriptivo"/>
    <w:p>
      <w:pPr>
        <w:pStyle w:val="Heading1"/>
      </w:pPr>
      <w:r>
        <w:t xml:space="preserve">Análisis descriptivo</w:t>
      </w:r>
    </w:p>
    <w:p>
      <w:pPr>
        <w:pStyle w:val="FirstParagraph"/>
      </w:pPr>
      <w:r>
        <w:rPr>
          <w:b/>
          <w:bCs/>
          <w:i/>
          <w:iCs/>
        </w:rPr>
        <w:t xml:space="preserve">Caso de estudio: Seoul Bike Sharing Demand</w:t>
      </w:r>
    </w:p>
    <w:p>
      <w:pPr>
        <w:pStyle w:val="BodyText"/>
      </w:pPr>
      <w:r>
        <w:t xml:space="preserve">La principal variable de interés es el número de bicicletas</w:t>
      </w:r>
      <w:r>
        <w:t xml:space="preserve"> </w:t>
      </w:r>
      <w:r>
        <w:t xml:space="preserve">rentadas. Tenemos información de 365 días y desglosada para</w:t>
      </w:r>
      <w:r>
        <w:t xml:space="preserve"> </w:t>
      </w:r>
      <w:r>
        <w:t xml:space="preserve">cada hora del día. Un primer abordaje para el análisis es sumarizar</w:t>
      </w:r>
      <w:r>
        <w:t xml:space="preserve"> </w:t>
      </w:r>
      <w:r>
        <w:t xml:space="preserve">el total de bicicletas rentadas para cada uno de los días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0    6483   17614   16864   26074   36149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asic_eda_files/figure-docx/daily_data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basic_eda_files/figure-docx/daily_data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asic_eda_files/figure-docx/daily_data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section"/>
    <w:p>
      <w:pPr>
        <w:pStyle w:val="Heading2"/>
      </w:pP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Seul Bike System</dc:title>
  <dc:creator/>
  <cp:keywords/>
  <dcterms:created xsi:type="dcterms:W3CDTF">2025-11-19T03:54:11Z</dcterms:created>
  <dcterms:modified xsi:type="dcterms:W3CDTF">2025-11-19T03:54:11Z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