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1acse4eh6gn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DKP-2-ASSETS-001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9zsflvs77vc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Property &amp; Assets Protocol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m34iaxy9q6e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Version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0.1.1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zjjqct4d9ct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Status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 Review Candidate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gcck55cm6wx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Property &amp; Assets Protocol defines how assets, resources, and property rights</w:t>
        <w:br w:type="textWrapping"/>
        <w:t xml:space="preserve"> are established, maintained, constrained, revoked, and reallocated within the</w:t>
        <w:br w:type="textWrapping"/>
        <w:t xml:space="preserve"> Dikenocracy system.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Property is not treated as an absolute or intrinsic right.</w:t>
        <w:br w:type="textWrapping"/>
        <w:t xml:space="preserve"> It is defined as a </w:t>
      </w:r>
      <w:r w:rsidDel="00000000" w:rsidR="00000000" w:rsidRPr="00000000">
        <w:rPr>
          <w:b w:val="1"/>
          <w:bCs w:val="1"/>
          <w:rtl w:val="0"/>
        </w:rPr>
        <w:t xml:space="preserve">conditional, revocable allocation of control</w:t>
      </w:r>
      <w:r w:rsidDel="00000000" w:rsidR="00000000" w:rsidRPr="00000000">
        <w:rPr>
          <w:rtl w:val="0"/>
        </w:rPr>
        <w:t xml:space="preserve">, justified</w:t>
        <w:br w:type="textWrapping"/>
        <w:t xml:space="preserve"> exclusively by measurable contribution and bounded by justice and physical reality.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ensures that: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ownership reflects net justice contribution,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accumulation cannot externalize harm,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assets cannot be used to bypass axiomatic limits,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property remains subordinate to impact, causality, and truth.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jgi73gmej3e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operates: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strictly downstream of DKP-0-ORACLE-001 (Physical Truth Layer),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above all L1 protocols (AXIOMS, IMPACT, IDENTITY, JUSTICE),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alongside DKP-2-FINANCE-001,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below social, labor, security, crisis, and infrastructure protocols (L3–L5).</w:t>
        <w:br w:type="textWrapping"/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asset-related decisions are invalid in the presence of a</w:t>
        <w:br w:type="textWrapping"/>
        <w:t xml:space="preserve"> Physical Truth Layer systemic halt or unresolved divergence.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s21ptfd4399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Core Definitions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6ujjpu08jfl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Asset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</w:t>
      </w:r>
      <w:r w:rsidDel="00000000" w:rsidR="00000000" w:rsidRPr="00000000">
        <w:rPr>
          <w:b w:val="1"/>
          <w:bCs w:val="1"/>
          <w:rtl w:val="0"/>
        </w:rPr>
        <w:t xml:space="preserve">Asset</w:t>
      </w:r>
      <w:r w:rsidDel="00000000" w:rsidR="00000000" w:rsidRPr="00000000">
        <w:rPr>
          <w:rtl w:val="0"/>
        </w:rPr>
        <w:t xml:space="preserve"> is any physical, informational, or infrastructural entity that:</w:t>
      </w:r>
    </w:p>
    <w:p w:rsidR="00000000" w:rsidDel="00000000" w:rsidP="00000000" w:rsidRDefault="00000000" w:rsidRPr="00000000" w14:paraId="0000001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 be controlled, excluded, or transferred,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produces measurable impact across one or more impact channels,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enables production, accumulation, or systemic influence.</w:t>
        <w:br w:type="textWrapping"/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Assets include, but are not limited to: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land and natural resources,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infrastructure and machinery,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informational and intellectual systems,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productive capital and financial instruments,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algorithmic, digital, or networked systems.</w:t>
        <w:br w:type="textWrapping"/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irjdzs5twmn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Property Right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Property Right</w:t>
      </w:r>
      <w:r w:rsidDel="00000000" w:rsidR="00000000" w:rsidRPr="00000000">
        <w:rPr>
          <w:rtl w:val="0"/>
        </w:rPr>
        <w:t xml:space="preserve"> is a system-granted, conditional permission to control,</w:t>
        <w:br w:type="textWrapping"/>
        <w:t xml:space="preserve"> use, or derive benefit from an Asset.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Property Rights are:</w:t>
      </w:r>
    </w:p>
    <w:p w:rsidR="00000000" w:rsidDel="00000000" w:rsidP="00000000" w:rsidRDefault="00000000" w:rsidRPr="00000000" w14:paraId="00000029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non-absolute,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non-permanent,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continuously impact-contingent,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subordinate to justice outcomes and axiomatic constraints.</w:t>
        <w:br w:type="textWrapping"/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gb45qo8tlz4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Ownership Granting Conditions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Property Right MAY be granted only if all of the following hold: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a) the Subject demonstrates non-negative net justice contribution,</w:t>
        <w:br w:type="textWrapping"/>
        <w:t xml:space="preserve"> b) projected asset use remains within impact bounds,</w:t>
        <w:br w:type="textWrapping"/>
        <w:t xml:space="preserve"> c) axiomatic priorities are not violated,</w:t>
        <w:br w:type="textWrapping"/>
        <w:t xml:space="preserve"> d) the Subject retains capacity for harm mitigation and restitution.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Ownership SHALL NOT be granted solely on the basis of:</w:t>
      </w:r>
    </w:p>
    <w:p w:rsidR="00000000" w:rsidDel="00000000" w:rsidP="00000000" w:rsidRDefault="00000000" w:rsidRPr="00000000" w14:paraId="00000032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prior possession,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inheritance without obligation transfer,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contractual abstraction detached from measurable impact.</w:t>
        <w:br w:type="textWrapping"/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uhlilsiptzt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Conditionality and Persistence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Property Rights persist only while:</w:t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justice contribution remains non-negative,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asset use complies with impact constraints,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restitution obligations are satisfied.</w:t>
        <w:br w:type="textWrapping"/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Failure of any condition SHALL trigger automatic degradation,</w:t>
        <w:br w:type="textWrapping"/>
        <w:t xml:space="preserve"> restriction, or suspension of the Property Right.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Property Right is permanent.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hbuipin6eth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Asset Use Constraints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Assets MUST NOT be used to:</w:t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amplify irreversible harm,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externalize damage beyond system boundaries,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bypass justice or identity attribution,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violate axiomatic priorities.</w:t>
        <w:br w:type="textWrapping"/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Asset use that increases systemic risk or irreversible damage</w:t>
        <w:br w:type="textWrapping"/>
        <w:t xml:space="preserve"> constitutes grounds for restriction or revocation.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i8yng752ie4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Accumulation and Concentration Limits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Asset accumulation is subject to </w:t>
      </w:r>
      <w:r w:rsidDel="00000000" w:rsidR="00000000" w:rsidRPr="00000000">
        <w:rPr>
          <w:b w:val="1"/>
          <w:bCs w:val="1"/>
          <w:rtl w:val="0"/>
        </w:rPr>
        <w:t xml:space="preserve">impact-based concentration constraints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accumulation:</w:t>
      </w:r>
    </w:p>
    <w:p w:rsidR="00000000" w:rsidDel="00000000" w:rsidP="00000000" w:rsidRDefault="00000000" w:rsidRPr="00000000" w14:paraId="00000049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increases systemic fragility,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enables coercive dominance,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amplifies irreversible or cascading harm,</w:t>
        <w:br w:type="textWrapping"/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SHALL trigger:</w:t>
      </w:r>
    </w:p>
    <w:p w:rsidR="00000000" w:rsidDel="00000000" w:rsidP="00000000" w:rsidRDefault="00000000" w:rsidRPr="00000000" w14:paraId="0000004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graduated restrictions,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enforced divestment,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 or full reallocation.</w:t>
        <w:br w:type="textWrapping"/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Concentration thresholds are derived from impact metrics,</w:t>
        <w:br w:type="textWrapping"/>
        <w:t xml:space="preserve"> not nominal valuation or market price.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o4qoscdsdpj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Revocation and Reallocation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8jnf1rstp43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8.1 Revocation Triggers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Property Rights SHALL be revoked when:</w:t>
      </w:r>
    </w:p>
    <w:p w:rsidR="00000000" w:rsidDel="00000000" w:rsidP="00000000" w:rsidRDefault="00000000" w:rsidRPr="00000000" w14:paraId="00000055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justice outcomes mandate Restriction, Isolation, or Exclusion,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asset use causes irreversible or systemic harm,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restitution obligations cannot be fulfilled.</w:t>
        <w:br w:type="textWrapping"/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Revocation is a </w:t>
      </w:r>
      <w:r w:rsidDel="00000000" w:rsidR="00000000" w:rsidRPr="00000000">
        <w:rPr>
          <w:b w:val="1"/>
          <w:bCs w:val="1"/>
          <w:rtl w:val="0"/>
        </w:rPr>
        <w:t xml:space="preserve">functional correction</w:t>
      </w:r>
      <w:r w:rsidDel="00000000" w:rsidR="00000000" w:rsidRPr="00000000">
        <w:rPr>
          <w:rtl w:val="0"/>
        </w:rPr>
        <w:t xml:space="preserve">, not punishment.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qylxul9t4lq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8.2 Reallocation Mechanisms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Revoked assets MAY be:</w:t>
      </w:r>
    </w:p>
    <w:p w:rsidR="00000000" w:rsidDel="00000000" w:rsidP="00000000" w:rsidRDefault="00000000" w:rsidRPr="00000000" w14:paraId="0000005C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placed under public stewardship,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reassigned to alternative Subjects,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transferred to reserve or mitigation pools.</w:t>
        <w:br w:type="textWrapping"/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Reallocation SHALL prioritize: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harm mitigation,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continuity of essential services,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protection of axiomatic priorities.</w:t>
        <w:br w:type="textWrapping"/>
      </w:r>
    </w:p>
    <w:p w:rsidR="00000000" w:rsidDel="00000000" w:rsidP="00000000" w:rsidRDefault="00000000" w:rsidRPr="00000000" w14:paraId="0000006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786qhipa3i6" w:id="16"/>
      <w:bookmarkEnd w:id="1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Reallocation Transparency Constraint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asset reallocation processes SHALL be:</w:t>
      </w:r>
    </w:p>
    <w:p w:rsidR="00000000" w:rsidDel="00000000" w:rsidP="00000000" w:rsidRDefault="00000000" w:rsidRPr="00000000" w14:paraId="0000006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publicly observable,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fully auditable,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traceable to justice outcomes and impact constraints,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executed via deterministic, rule-based procedures.</w:t>
        <w:br w:type="textWrapping"/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discretionary authority, closed committee, or opaque administrative body</w:t>
        <w:br w:type="textWrapping"/>
        <w:t xml:space="preserve"> MAY control or override asset reallocation.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stewardship denotes </w:t>
      </w:r>
      <w:r w:rsidDel="00000000" w:rsidR="00000000" w:rsidRPr="00000000">
        <w:rPr>
          <w:b w:val="1"/>
          <w:bCs w:val="1"/>
          <w:rtl w:val="0"/>
        </w:rPr>
        <w:t xml:space="preserve">algorithmic custodianship under open rules</w:t>
      </w:r>
      <w:r w:rsidDel="00000000" w:rsidR="00000000" w:rsidRPr="00000000">
        <w:rPr>
          <w:rtl w:val="0"/>
        </w:rPr>
        <w:t xml:space="preserve">,</w:t>
        <w:br w:type="textWrapping"/>
        <w:t xml:space="preserve"> not bureaucratic management.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06n9i33sxu6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Natural and Critical Assets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Certain assets are designated as </w:t>
      </w:r>
      <w:r w:rsidDel="00000000" w:rsidR="00000000" w:rsidRPr="00000000">
        <w:rPr>
          <w:b w:val="1"/>
          <w:bCs w:val="1"/>
          <w:rtl w:val="0"/>
        </w:rPr>
        <w:t xml:space="preserve">Non-Privatizable</w:t>
      </w:r>
      <w:r w:rsidDel="00000000" w:rsidR="00000000" w:rsidRPr="00000000">
        <w:rPr>
          <w:rtl w:val="0"/>
        </w:rPr>
        <w:t xml:space="preserve"> or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Conditionally Privatizable</w:t>
      </w:r>
      <w:r w:rsidDel="00000000" w:rsidR="00000000" w:rsidRPr="00000000">
        <w:rPr>
          <w:rtl w:val="0"/>
        </w:rPr>
        <w:t xml:space="preserve">, including: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biosphere-critical systems,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water, air, and ecological infrastructure,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essential cognitive and informational commons.</w:t>
        <w:br w:type="textWrapping"/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Such assets MAY only be held under strict stewardship conditions</w:t>
        <w:br w:type="textWrapping"/>
        <w:t xml:space="preserve"> and SHALL always remain revocable.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wx3cbqo93cr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Transfer and Inheritance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transfer of property rights, including inheritance, requires: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explicit transfer of justice obligations,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acceptance of ongoing responsibility,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with current impact constraints.</w:t>
        <w:br w:type="textWrapping"/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Inheritance SHALL NOT erase historical attribution</w:t>
        <w:br w:type="textWrapping"/>
        <w:t xml:space="preserve"> or exempt the recipient from justice outcomes.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od9da36jx7g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Justice-Driven Asset Access Constraint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 Subject is placed under Restriction, Isolation, or Exclusion</w:t>
        <w:br w:type="textWrapping"/>
        <w:t xml:space="preserve"> per DKP-1-JUSTICE-001: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 over non-essential assets SHALL be restricted or suspended,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asset-derived benefits MAY be limited,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necessary for preservation of life SHALL be maintained</w:t>
        <w:br w:type="textWrapping"/>
        <w:t xml:space="preserve"> in accordance with Axiom A1.</w:t>
        <w:br w:type="textWrapping"/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 override justice outcomes.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ycjokj34rvd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Transparency and Identity Binding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asset ownership and control structures MUST be:</w:t>
      </w:r>
    </w:p>
    <w:p w:rsidR="00000000" w:rsidDel="00000000" w:rsidP="00000000" w:rsidRDefault="00000000" w:rsidRPr="00000000" w14:paraId="0000008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registered,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publicly auditable,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directly and unambiguously bindable to Subjects</w:t>
        <w:br w:type="textWrapping"/>
        <w:t xml:space="preserve"> as defined in DKP-1-IDENTITY-001.</w:t>
        <w:br w:type="textWrapping"/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Hidden ownership, shell abstractions, offshore structures,</w:t>
        <w:br w:type="textWrapping"/>
        <w:t xml:space="preserve"> or any form of control that prevents causal attribution</w:t>
        <w:br w:type="textWrapping"/>
        <w:t xml:space="preserve"> of impact or responsibility are forbidden.</w:t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u7xvtn6w60t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Identity Binding Requirement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ownership abstraction that obstructs causal attribution</w:t>
        <w:br w:type="textWrapping"/>
        <w:t xml:space="preserve"> SHALL be treated as invalid within the system.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requirement is a necessary condition for the operation</w:t>
        <w:br w:type="textWrapping"/>
        <w:t xml:space="preserve"> of DKP-1-IDENTITY-001 and cannot be waived.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wg0movvff6n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Cross-Layer Isolation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8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redefine justice logic,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 impact measurements,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introduce policy discretion,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exemptions from axiomatic constraints.</w:t>
        <w:br w:type="textWrapping"/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constitutes a critical architectural breach.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fpdbtlwk2di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Protocol Finality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finalized, this protocol is immutable.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requires: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new protocol identifier,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declaration of incompatibility,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full-system simulation under DKP-8-SIMULATION.</w:t>
        <w:br w:type="textWrapping"/>
      </w:r>
    </w:p>
    <w:p w:rsidR="00000000" w:rsidDel="00000000" w:rsidP="00000000" w:rsidRDefault="00000000" w:rsidRPr="00000000" w14:paraId="0000009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Protocol Hash (SHA-256): </w:t>
      </w:r>
      <w:r w:rsidDel="00000000" w:rsidR="00000000" w:rsidRPr="00000000">
        <w:rPr>
          <w:b w:val="1"/>
          <w:bCs w:val="1"/>
          <w:rtl w:val="0"/>
        </w:rPr>
        <w:t xml:space="preserve">[to be inserted at freeze]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bzj32qfpqgl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END OF PROTOCOL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