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kp-0-oracle-001"/>
    <w:p>
      <w:pPr>
        <w:pStyle w:val="Heading1"/>
      </w:pPr>
      <w:r>
        <w:t xml:space="preserve">DKP-0-ORACLE-001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physical-truth-layer-protocol-ptl"/>
    <w:p>
      <w:pPr>
        <w:pStyle w:val="Heading3"/>
      </w:pPr>
      <w:r>
        <w:t xml:space="preserve">Physical Truth Layer Protocol (PTL)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Physical Truth Layer (PTL) defines the</w:t>
      </w:r>
      <w:r>
        <w:t xml:space="preserve"> </w:t>
      </w:r>
      <w:r>
        <w:rPr>
          <w:b/>
          <w:bCs/>
        </w:rPr>
        <w:t xml:space="preserve">sole admissible interface between physical reality and the Dikenocracy governance system</w:t>
      </w:r>
      <w:r>
        <w:t xml:space="preserve">.</w:t>
      </w:r>
    </w:p>
    <w:p>
      <w:pPr>
        <w:pStyle w:val="BodyText"/>
      </w:pPr>
      <w:r>
        <w:t xml:space="preserve">Its function is to produce a</w:t>
      </w:r>
      <w:r>
        <w:t xml:space="preserve"> </w:t>
      </w:r>
      <w:r>
        <w:rPr>
          <w:b/>
          <w:bCs/>
        </w:rPr>
        <w:t xml:space="preserve">bounded, physically grounded, cryptographically verifiable representation of observable reality</w:t>
      </w:r>
      <w:r>
        <w:t xml:space="preserve">, independent of political, economic, or human discretion.</w:t>
      </w:r>
    </w:p>
    <w:p>
      <w:pPr>
        <w:pStyle w:val="BodyText"/>
      </w:pPr>
      <w:r>
        <w:t xml:space="preserve">The PTL produces</w:t>
      </w:r>
      <w:r>
        <w:t xml:space="preserve"> </w:t>
      </w:r>
      <w:r>
        <w:rPr>
          <w:b/>
          <w:bCs/>
        </w:rPr>
        <w:t xml:space="preserve">physical state only</w:t>
      </w:r>
      <w:r>
        <w:t xml:space="preserve">.</w:t>
      </w:r>
    </w:p>
    <w:p>
      <w:pPr>
        <w:pStyle w:val="BodyText"/>
      </w:pPr>
      <w:r>
        <w:t xml:space="preserve">The PTL does not:</w:t>
      </w:r>
    </w:p>
    <w:p>
      <w:pPr>
        <w:pStyle w:val="Compact"/>
        <w:numPr>
          <w:ilvl w:val="0"/>
          <w:numId w:val="1001"/>
        </w:numPr>
      </w:pPr>
      <w:r>
        <w:t xml:space="preserve">interpret meaning,</w:t>
      </w:r>
    </w:p>
    <w:p>
      <w:pPr>
        <w:pStyle w:val="Compact"/>
        <w:numPr>
          <w:ilvl w:val="0"/>
          <w:numId w:val="1001"/>
        </w:numPr>
      </w:pPr>
      <w:r>
        <w:t xml:space="preserve">infer intent,</w:t>
      </w:r>
    </w:p>
    <w:p>
      <w:pPr>
        <w:pStyle w:val="Compact"/>
        <w:numPr>
          <w:ilvl w:val="0"/>
          <w:numId w:val="1001"/>
        </w:numPr>
      </w:pPr>
      <w:r>
        <w:t xml:space="preserve">assign value,</w:t>
      </w:r>
    </w:p>
    <w:p>
      <w:pPr>
        <w:pStyle w:val="Compact"/>
        <w:numPr>
          <w:ilvl w:val="0"/>
          <w:numId w:val="1001"/>
        </w:numPr>
      </w:pPr>
      <w:r>
        <w:t xml:space="preserve">perform policy reasoning,</w:t>
      </w:r>
    </w:p>
    <w:p>
      <w:pPr>
        <w:pStyle w:val="Compact"/>
        <w:numPr>
          <w:ilvl w:val="0"/>
          <w:numId w:val="1001"/>
        </w:numPr>
      </w:pPr>
      <w:r>
        <w:t xml:space="preserve">infer subjective or semantic states.</w:t>
      </w:r>
    </w:p>
    <w:p>
      <w:r>
        <w:pict>
          <v:rect style="width:0;height:1.5pt" o:hralign="center" o:hrstd="t" o:hr="t"/>
        </w:pict>
      </w:r>
    </w:p>
    <w:bookmarkEnd w:id="10"/>
    <w:bookmarkStart w:id="11" w:name="X10151dccd4007a2887c7d3f5f4281f203f985de"/>
    <w:p>
      <w:pPr>
        <w:pStyle w:val="Heading3"/>
      </w:pPr>
      <w:r>
        <w:t xml:space="preserve">2. System Position and Anchoring</w:t>
      </w:r>
    </w:p>
    <w:p>
      <w:pPr>
        <w:pStyle w:val="FirstParagraph"/>
      </w:pPr>
      <w:r>
        <w:t xml:space="preserve">This protocol is an integral extension of Appendix A.2 of the Code of Planetary Synergy and is anchored to</w:t>
      </w:r>
      <w:r>
        <w:t xml:space="preserve"> </w:t>
      </w:r>
      <w:r>
        <w:rPr>
          <w:b/>
          <w:bCs/>
        </w:rPr>
        <w:t xml:space="preserve">Genesis Block #0 (2025-12-10)</w:t>
      </w:r>
      <w:r>
        <w:t xml:space="preserve">.</w:t>
      </w:r>
    </w:p>
    <w:p>
      <w:pPr>
        <w:pStyle w:val="BodyText"/>
      </w:pPr>
      <w:r>
        <w:t xml:space="preserve">Compatibility with Genesis Block physical anchors and parameters is a</w:t>
      </w:r>
      <w:r>
        <w:t xml:space="preserve"> </w:t>
      </w:r>
      <w:r>
        <w:rPr>
          <w:b/>
          <w:bCs/>
        </w:rPr>
        <w:t xml:space="preserve">mandatory validity condition</w:t>
      </w:r>
      <w:r>
        <w:t xml:space="preserve"> </w:t>
      </w:r>
      <w:r>
        <w:t xml:space="preserve">for any PTL implementation.</w:t>
      </w:r>
    </w:p>
    <w:p>
      <w:pPr>
        <w:pStyle w:val="BodyText"/>
      </w:pPr>
      <w:r>
        <w:t xml:space="preserve">PTL outputs are</w:t>
      </w:r>
      <w:r>
        <w:t xml:space="preserve"> </w:t>
      </w:r>
      <w:r>
        <w:rPr>
          <w:b/>
          <w:bCs/>
        </w:rPr>
        <w:t xml:space="preserve">non-normative</w:t>
      </w:r>
      <w:r>
        <w:t xml:space="preserve"> </w:t>
      </w:r>
      <w:r>
        <w:t xml:space="preserve">and may only be consumed by higher layers under explicitly defined activation and scope rules.</w:t>
      </w:r>
    </w:p>
    <w:p>
      <w:r>
        <w:pict>
          <v:rect style="width:0;height:1.5pt" o:hralign="center" o:hrstd="t" o:hr="t"/>
        </w:pict>
      </w:r>
    </w:p>
    <w:bookmarkEnd w:id="11"/>
    <w:bookmarkStart w:id="12" w:name="X25d0be9279514911651d99fd74a027e3892227a"/>
    <w:p>
      <w:pPr>
        <w:pStyle w:val="Heading3"/>
      </w:pPr>
      <w:r>
        <w:t xml:space="preserve">3. Scope</w:t>
      </w:r>
    </w:p>
    <w:p>
      <w:pPr>
        <w:pStyle w:val="FirstParagraph"/>
      </w:pPr>
      <w:r>
        <w:t xml:space="preserve">This protocol governs:</w:t>
      </w:r>
    </w:p>
    <w:p>
      <w:pPr>
        <w:pStyle w:val="Compact"/>
        <w:numPr>
          <w:ilvl w:val="0"/>
          <w:numId w:val="1002"/>
        </w:numPr>
      </w:pPr>
      <w:r>
        <w:t xml:space="preserve">oracle admissibility,</w:t>
      </w:r>
    </w:p>
    <w:p>
      <w:pPr>
        <w:pStyle w:val="Compact"/>
        <w:numPr>
          <w:ilvl w:val="0"/>
          <w:numId w:val="1002"/>
        </w:numPr>
      </w:pPr>
      <w:r>
        <w:t xml:space="preserve">data ingestion constraints,</w:t>
      </w:r>
    </w:p>
    <w:p>
      <w:pPr>
        <w:pStyle w:val="Compact"/>
        <w:numPr>
          <w:ilvl w:val="0"/>
          <w:numId w:val="1002"/>
        </w:numPr>
      </w:pPr>
      <w:r>
        <w:t xml:space="preserve">oracle weighting and ownership caps,</w:t>
      </w:r>
    </w:p>
    <w:p>
      <w:pPr>
        <w:pStyle w:val="Compact"/>
        <w:numPr>
          <w:ilvl w:val="0"/>
          <w:numId w:val="1002"/>
        </w:numPr>
      </w:pPr>
      <w:r>
        <w:t xml:space="preserve">temporal validity of data (TTL),</w:t>
      </w:r>
    </w:p>
    <w:p>
      <w:pPr>
        <w:pStyle w:val="Compact"/>
        <w:numPr>
          <w:ilvl w:val="0"/>
          <w:numId w:val="1002"/>
        </w:numPr>
      </w:pPr>
      <w:r>
        <w:t xml:space="preserve">data aggregation methodology,</w:t>
      </w:r>
    </w:p>
    <w:p>
      <w:pPr>
        <w:pStyle w:val="Compact"/>
        <w:numPr>
          <w:ilvl w:val="0"/>
          <w:numId w:val="1002"/>
        </w:numPr>
      </w:pPr>
      <w:r>
        <w:t xml:space="preserve">divergence detection and arbitration,</w:t>
      </w:r>
    </w:p>
    <w:p>
      <w:pPr>
        <w:pStyle w:val="Compact"/>
        <w:numPr>
          <w:ilvl w:val="0"/>
          <w:numId w:val="1002"/>
        </w:numPr>
      </w:pPr>
      <w:r>
        <w:t xml:space="preserve">production of raw physical indices required by higher layers.</w:t>
      </w:r>
    </w:p>
    <w:p>
      <w:pPr>
        <w:pStyle w:val="FirstParagraph"/>
      </w:pPr>
      <w:r>
        <w:t xml:space="preserve">This protocol explicitly excludes:</w:t>
      </w:r>
    </w:p>
    <w:p>
      <w:pPr>
        <w:pStyle w:val="Compact"/>
        <w:numPr>
          <w:ilvl w:val="0"/>
          <w:numId w:val="1003"/>
        </w:numPr>
      </w:pPr>
      <w:r>
        <w:t xml:space="preserve">human testimony or manual input,</w:t>
      </w:r>
    </w:p>
    <w:p>
      <w:pPr>
        <w:pStyle w:val="Compact"/>
        <w:numPr>
          <w:ilvl w:val="0"/>
          <w:numId w:val="1003"/>
        </w:numPr>
      </w:pPr>
      <w:r>
        <w:t xml:space="preserve">semantic interpretation,</w:t>
      </w:r>
    </w:p>
    <w:p>
      <w:pPr>
        <w:pStyle w:val="Compact"/>
        <w:numPr>
          <w:ilvl w:val="0"/>
          <w:numId w:val="1003"/>
        </w:numPr>
      </w:pPr>
      <w:r>
        <w:t xml:space="preserve">intent inference,</w:t>
      </w:r>
    </w:p>
    <w:p>
      <w:pPr>
        <w:pStyle w:val="Compact"/>
        <w:numPr>
          <w:ilvl w:val="0"/>
          <w:numId w:val="1003"/>
        </w:numPr>
      </w:pPr>
      <w:r>
        <w:t xml:space="preserve">subjective state attribution,</w:t>
      </w:r>
    </w:p>
    <w:p>
      <w:pPr>
        <w:pStyle w:val="Compact"/>
        <w:numPr>
          <w:ilvl w:val="0"/>
          <w:numId w:val="1003"/>
        </w:numPr>
      </w:pPr>
      <w:r>
        <w:t xml:space="preserve">policy reasoning,</w:t>
      </w:r>
    </w:p>
    <w:p>
      <w:pPr>
        <w:pStyle w:val="Compact"/>
        <w:numPr>
          <w:ilvl w:val="0"/>
          <w:numId w:val="1003"/>
        </w:numPr>
      </w:pPr>
      <w:r>
        <w:t xml:space="preserve">cross-layer feedback or parameter adjustment.</w:t>
      </w:r>
    </w:p>
    <w:p>
      <w:r>
        <w:pict>
          <v:rect style="width:0;height:1.5pt" o:hralign="center" o:hrstd="t" o:hr="t"/>
        </w:pict>
      </w:r>
    </w:p>
    <w:bookmarkEnd w:id="12"/>
    <w:bookmarkStart w:id="21" w:name="X8060fd2d88e00f5bf05620281d7d6d37275dbf4"/>
    <w:p>
      <w:pPr>
        <w:pStyle w:val="Heading3"/>
      </w:pPr>
      <w:r>
        <w:t xml:space="preserve">4. Core Definitions</w:t>
      </w:r>
    </w:p>
    <w:bookmarkStart w:id="13" w:name="Xca17e8270c849936e406558596592e9be53f025"/>
    <w:p>
      <w:pPr>
        <w:pStyle w:val="Heading4"/>
      </w:pPr>
      <w:r>
        <w:t xml:space="preserve">4.1 Physical State Vector S(t)</w:t>
      </w:r>
    </w:p>
    <w:p>
      <w:pPr>
        <w:pStyle w:val="FirstParagraph"/>
      </w:pPr>
      <w:r>
        <w:t xml:space="preserve">A time-indexed vector of</w:t>
      </w:r>
      <w:r>
        <w:t xml:space="preserve"> </w:t>
      </w:r>
      <w:r>
        <w:rPr>
          <w:b/>
          <w:bCs/>
        </w:rPr>
        <w:t xml:space="preserve">physically measurable variables</w:t>
      </w:r>
      <w:r>
        <w:t xml:space="preserve">, derived exclusively from admissible oracle inputs.</w:t>
      </w:r>
    </w:p>
    <w:p>
      <w:r>
        <w:pict>
          <v:rect style="width:0;height:1.5pt" o:hralign="center" o:hrstd="t" o:hr="t"/>
        </w:pict>
      </w:r>
    </w:p>
    <w:bookmarkEnd w:id="13"/>
    <w:bookmarkStart w:id="14" w:name="X72170f14e80824253c9b3b33f2f99d26cf908b8"/>
    <w:p>
      <w:pPr>
        <w:pStyle w:val="Heading4"/>
      </w:pPr>
      <w:r>
        <w:t xml:space="preserve">4.2 Oracle Source</w:t>
      </w:r>
    </w:p>
    <w:p>
      <w:pPr>
        <w:pStyle w:val="FirstParagraph"/>
      </w:pPr>
      <w:r>
        <w:t xml:space="preserve">A hardware-bound system producing</w:t>
      </w:r>
      <w:r>
        <w:t xml:space="preserve"> </w:t>
      </w:r>
      <w:r>
        <w:rPr>
          <w:b/>
          <w:bCs/>
        </w:rPr>
        <w:t xml:space="preserve">cryptographically signed physical measurements</w:t>
      </w:r>
      <w:r>
        <w:t xml:space="preserve">, traceable to a registered oracle identity.</w:t>
      </w:r>
    </w:p>
    <w:p>
      <w:r>
        <w:pict>
          <v:rect style="width:0;height:1.5pt" o:hralign="center" o:hrstd="t" o:hr="t"/>
        </w:pict>
      </w:r>
    </w:p>
    <w:bookmarkEnd w:id="14"/>
    <w:bookmarkStart w:id="15" w:name="X341f8bbbce9d741ea893727d483b900dbe7beb4"/>
    <w:p>
      <w:pPr>
        <w:pStyle w:val="Heading4"/>
      </w:pPr>
      <w:r>
        <w:t xml:space="preserve">4.3 Oracle Owner</w:t>
      </w:r>
    </w:p>
    <w:p>
      <w:pPr>
        <w:pStyle w:val="FirstParagraph"/>
      </w:pPr>
      <w:r>
        <w:t xml:space="preserve">A natural or legal person controlling one or more oracle sources.</w:t>
      </w:r>
    </w:p>
    <w:p>
      <w:r>
        <w:pict>
          <v:rect style="width:0;height:1.5pt" o:hralign="center" o:hrstd="t" o:hr="t"/>
        </w:pict>
      </w:r>
    </w:p>
    <w:bookmarkEnd w:id="15"/>
    <w:bookmarkStart w:id="16" w:name="Xcaac3f4cabad6d630859533e2ccd134b93c188f"/>
    <w:p>
      <w:pPr>
        <w:pStyle w:val="Heading4"/>
      </w:pPr>
      <w:r>
        <w:t xml:space="preserve">4.4 Confidence Weight wᵢ</w:t>
      </w:r>
    </w:p>
    <w:p>
      <w:pPr>
        <w:pStyle w:val="FirstParagraph"/>
      </w:pPr>
      <w:r>
        <w:t xml:space="preserve">A normalized reliability contribution of an oracle source, bounded and capped by protocol constraints.</w:t>
      </w:r>
    </w:p>
    <w:p>
      <w:r>
        <w:pict>
          <v:rect style="width:0;height:1.5pt" o:hralign="center" o:hrstd="t" o:hr="t"/>
        </w:pict>
      </w:r>
    </w:p>
    <w:bookmarkEnd w:id="16"/>
    <w:bookmarkStart w:id="17" w:name="Xcd9b2b213c74ecadf0d35e0520727e7df20cb58"/>
    <w:p>
      <w:pPr>
        <w:pStyle w:val="Heading4"/>
      </w:pPr>
      <w:r>
        <w:t xml:space="preserve">4.5 Coverage</w:t>
      </w:r>
    </w:p>
    <w:p>
      <w:pPr>
        <w:pStyle w:val="FirstParagraph"/>
      </w:pPr>
      <w:r>
        <w:t xml:space="preserve">The fraction of the target physical domain that is actively observed by valid oracle sources with non-zero confidence.</w:t>
      </w:r>
    </w:p>
    <w:p>
      <w:r>
        <w:pict>
          <v:rect style="width:0;height:1.5pt" o:hralign="center" o:hrstd="t" o:hr="t"/>
        </w:pict>
      </w:r>
    </w:p>
    <w:bookmarkEnd w:id="17"/>
    <w:bookmarkStart w:id="18" w:name="Xe74b69f4f6f2e8a40106472ecb5fd1c81f4be3f"/>
    <w:p>
      <w:pPr>
        <w:pStyle w:val="Heading4"/>
      </w:pPr>
      <w:r>
        <w:t xml:space="preserve">4.6 Data Staleness (TTL)</w:t>
      </w:r>
    </w:p>
    <w:p>
      <w:pPr>
        <w:pStyle w:val="FirstParagraph"/>
      </w:pPr>
      <w:r>
        <w:t xml:space="preserve">The maximum admissible age of a datum before its confidence weight is</w:t>
      </w:r>
      <w:r>
        <w:t xml:space="preserve"> </w:t>
      </w:r>
      <w:r>
        <w:rPr>
          <w:b/>
          <w:bCs/>
        </w:rPr>
        <w:t xml:space="preserve">forced to zero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9e194f40e138a1941c0045d58ca748c99007f8f"/>
    <w:p>
      <w:pPr>
        <w:pStyle w:val="Heading4"/>
      </w:pPr>
      <w:r>
        <w:t xml:space="preserve">4.7 Independent Oracle Classes</w:t>
      </w:r>
    </w:p>
    <w:p>
      <w:pPr>
        <w:pStyle w:val="FirstParagraph"/>
      </w:pPr>
      <w:r>
        <w:t xml:space="preserve">Distinct measurement modalities defined by</w:t>
      </w:r>
      <w:r>
        <w:t xml:space="preserve"> </w:t>
      </w:r>
      <w:r>
        <w:rPr>
          <w:b/>
          <w:bCs/>
        </w:rPr>
        <w:t xml:space="preserve">physical separation of sensing mechanisms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b655797a5034e3f57ac2089e2963a7c26db03f5"/>
    <w:p>
      <w:pPr>
        <w:pStyle w:val="Heading4"/>
      </w:pPr>
      <w:r>
        <w:t xml:space="preserve">4.8 Divergence Event</w:t>
      </w:r>
    </w:p>
    <w:p>
      <w:pPr>
        <w:pStyle w:val="FirstParagraph"/>
      </w:pPr>
      <w:r>
        <w:t xml:space="preserve">A statistically significant disagreement between posterior distributions produced by</w:t>
      </w:r>
      <w:r>
        <w:t xml:space="preserve"> </w:t>
      </w:r>
      <w:r>
        <w:rPr>
          <w:b/>
          <w:bCs/>
        </w:rPr>
        <w:t xml:space="preserve">independent oracle classes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d6d480bc16ac524f1d8beb08b42a96fcab516c1"/>
    <w:p>
      <w:pPr>
        <w:pStyle w:val="Heading3"/>
      </w:pPr>
      <w:r>
        <w:t xml:space="preserve">5. Measurement Classification (Mandatory)</w:t>
      </w:r>
    </w:p>
    <w:p>
      <w:pPr>
        <w:pStyle w:val="FirstParagraph"/>
      </w:pPr>
      <w:r>
        <w:t xml:space="preserve">All PTL outputs MUST be explicitly classified as one of the following:</w:t>
      </w:r>
    </w:p>
    <w:bookmarkStart w:id="22" w:name="X5f57e737da5e44b8d18678ceec815eac2dad3e8"/>
    <w:p>
      <w:pPr>
        <w:pStyle w:val="Heading4"/>
      </w:pPr>
      <w:r>
        <w:t xml:space="preserve">5.1 Direct Physical Measurements</w:t>
      </w:r>
    </w:p>
    <w:p>
      <w:pPr>
        <w:pStyle w:val="FirstParagraph"/>
      </w:pPr>
      <w:r>
        <w:t xml:space="preserve">Directly observable quantities requiring no semantic interpretation.</w:t>
      </w:r>
    </w:p>
    <w:p>
      <w:pPr>
        <w:pStyle w:val="BodyText"/>
      </w:pPr>
      <w:r>
        <w:t xml:space="preserve">Examples include: position, speed, acceleration, mass, temperature, radiation, pressure, noise level, duration, exposure.</w:t>
      </w:r>
    </w:p>
    <w:p>
      <w:r>
        <w:pict>
          <v:rect style="width:0;height:1.5pt" o:hralign="center" o:hrstd="t" o:hr="t"/>
        </w:pict>
      </w:r>
    </w:p>
    <w:bookmarkEnd w:id="22"/>
    <w:bookmarkStart w:id="23" w:name="X408858c342440c6839324344f5b3d8ed5035d2e"/>
    <w:p>
      <w:pPr>
        <w:pStyle w:val="Heading4"/>
      </w:pPr>
      <w:r>
        <w:t xml:space="preserve">5.2 Proxy-Based Measurements</w:t>
      </w:r>
    </w:p>
    <w:p>
      <w:pPr>
        <w:pStyle w:val="FirstParagraph"/>
      </w:pPr>
      <w:r>
        <w:t xml:space="preserve">Derived indicators correlating with physical processes but</w:t>
      </w:r>
      <w:r>
        <w:t xml:space="preserve"> </w:t>
      </w:r>
      <w:r>
        <w:rPr>
          <w:b/>
          <w:bCs/>
        </w:rPr>
        <w:t xml:space="preserve">not equivalent to subjective, semantic, or normative states</w:t>
      </w:r>
      <w:r>
        <w:t xml:space="preserve">.</w:t>
      </w:r>
    </w:p>
    <w:p>
      <w:pPr>
        <w:pStyle w:val="BodyText"/>
      </w:pPr>
      <w:r>
        <w:t xml:space="preserve">Examples include: load indices, stress proxies, fatigue indicators, environmental risk proxies.</w:t>
      </w:r>
    </w:p>
    <w:p>
      <w:pPr>
        <w:pStyle w:val="BodyText"/>
      </w:pPr>
      <w:r>
        <w:t xml:space="preserve">Proxy-based outputs MUST:</w:t>
      </w:r>
    </w:p>
    <w:p>
      <w:pPr>
        <w:pStyle w:val="Compact"/>
        <w:numPr>
          <w:ilvl w:val="0"/>
          <w:numId w:val="1004"/>
        </w:numPr>
      </w:pPr>
      <w:r>
        <w:t xml:space="preserve">explicitly declare the proxy model used,</w:t>
      </w:r>
    </w:p>
    <w:p>
      <w:pPr>
        <w:pStyle w:val="Compact"/>
        <w:numPr>
          <w:ilvl w:val="0"/>
          <w:numId w:val="1004"/>
        </w:numPr>
      </w:pPr>
      <w:r>
        <w:t xml:space="preserve">include propagated uncertainty,</w:t>
      </w:r>
    </w:p>
    <w:p>
      <w:pPr>
        <w:pStyle w:val="Compact"/>
        <w:numPr>
          <w:ilvl w:val="0"/>
          <w:numId w:val="1004"/>
        </w:numPr>
      </w:pPr>
      <w:r>
        <w:t xml:space="preserve">explicitly state that the result is not a subjective state.</w:t>
      </w:r>
    </w:p>
    <w:p>
      <w:r>
        <w:pict>
          <v:rect style="width:0;height:1.5pt" o:hralign="center" o:hrstd="t" o:hr="t"/>
        </w:pict>
      </w:r>
    </w:p>
    <w:bookmarkEnd w:id="23"/>
    <w:bookmarkStart w:id="24" w:name="Xee6ba158a0f39aef0e0bf7f5f0f5771b8606faf"/>
    <w:p>
      <w:pPr>
        <w:pStyle w:val="Heading4"/>
      </w:pPr>
      <w:r>
        <w:t xml:space="preserve">5.3 Non-Measurable Domains (Explicitly Excluded)</w:t>
      </w:r>
    </w:p>
    <w:p>
      <w:pPr>
        <w:pStyle w:val="FirstParagraph"/>
      </w:pPr>
      <w:r>
        <w:t xml:space="preserve">The PTL SHALL NOT emit outputs concerning:</w:t>
      </w:r>
    </w:p>
    <w:p>
      <w:pPr>
        <w:pStyle w:val="Compact"/>
        <w:numPr>
          <w:ilvl w:val="0"/>
          <w:numId w:val="1005"/>
        </w:numPr>
      </w:pPr>
      <w:r>
        <w:t xml:space="preserve">intent,</w:t>
      </w:r>
    </w:p>
    <w:p>
      <w:pPr>
        <w:pStyle w:val="Compact"/>
        <w:numPr>
          <w:ilvl w:val="0"/>
          <w:numId w:val="1005"/>
        </w:numPr>
      </w:pPr>
      <w:r>
        <w:t xml:space="preserve">dignity,</w:t>
      </w:r>
    </w:p>
    <w:p>
      <w:pPr>
        <w:pStyle w:val="Compact"/>
        <w:numPr>
          <w:ilvl w:val="0"/>
          <w:numId w:val="1005"/>
        </w:numPr>
      </w:pPr>
      <w:r>
        <w:t xml:space="preserve">belief,</w:t>
      </w:r>
    </w:p>
    <w:p>
      <w:pPr>
        <w:pStyle w:val="Compact"/>
        <w:numPr>
          <w:ilvl w:val="0"/>
          <w:numId w:val="1005"/>
        </w:numPr>
      </w:pPr>
      <w:r>
        <w:t xml:space="preserve">responsibility,</w:t>
      </w:r>
    </w:p>
    <w:p>
      <w:pPr>
        <w:pStyle w:val="Compact"/>
        <w:numPr>
          <w:ilvl w:val="0"/>
          <w:numId w:val="1005"/>
        </w:numPr>
      </w:pPr>
      <w:r>
        <w:t xml:space="preserve">consent,</w:t>
      </w:r>
    </w:p>
    <w:p>
      <w:pPr>
        <w:pStyle w:val="Compact"/>
        <w:numPr>
          <w:ilvl w:val="0"/>
          <w:numId w:val="1005"/>
        </w:numPr>
      </w:pPr>
      <w:r>
        <w:t xml:space="preserve">moral, cultural, or social harm.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8f82d500aef55f03011fcc7a48ad3bf4b62faf"/>
    <w:p>
      <w:pPr>
        <w:pStyle w:val="Heading3"/>
      </w:pPr>
      <w:r>
        <w:t xml:space="preserve">6. Independent Oracle Classes</w:t>
      </w:r>
    </w:p>
    <w:p>
      <w:pPr>
        <w:pStyle w:val="FirstParagraph"/>
      </w:pPr>
      <w:r>
        <w:t xml:space="preserve">The PTL defines the following independent oracle classes:</w:t>
      </w:r>
    </w:p>
    <w:p>
      <w:pPr>
        <w:pStyle w:val="Compact"/>
        <w:numPr>
          <w:ilvl w:val="0"/>
          <w:numId w:val="1006"/>
        </w:numPr>
      </w:pPr>
      <w:r>
        <w:t xml:space="preserve">Orbital (satellite-based remote sensing),</w:t>
      </w:r>
    </w:p>
    <w:p>
      <w:pPr>
        <w:pStyle w:val="Compact"/>
        <w:numPr>
          <w:ilvl w:val="0"/>
          <w:numId w:val="1006"/>
        </w:numPr>
      </w:pPr>
      <w:r>
        <w:t xml:space="preserve">Ground (fixed terrestrial or marine sensors),</w:t>
      </w:r>
    </w:p>
    <w:p>
      <w:pPr>
        <w:pStyle w:val="Compact"/>
        <w:numPr>
          <w:ilvl w:val="0"/>
          <w:numId w:val="1006"/>
        </w:numPr>
      </w:pPr>
      <w:r>
        <w:t xml:space="preserve">Autonomous (mobile or robotic sensing platforms).</w:t>
      </w:r>
    </w:p>
    <w:p>
      <w:pPr>
        <w:pStyle w:val="FirstParagraph"/>
      </w:pPr>
      <w:r>
        <w:t xml:space="preserve">Divergence detection applies</w:t>
      </w:r>
      <w:r>
        <w:t xml:space="preserve"> </w:t>
      </w:r>
      <w:r>
        <w:rPr>
          <w:b/>
          <w:bCs/>
        </w:rPr>
        <w:t xml:space="preserve">exclusively across classes</w:t>
      </w:r>
      <w:r>
        <w:t xml:space="preserve">, not within a single class.</w:t>
      </w:r>
    </w:p>
    <w:p>
      <w:r>
        <w:pict>
          <v:rect style="width:0;height:1.5pt" o:hralign="center" o:hrstd="t" o:hr="t"/>
        </w:pict>
      </w:r>
    </w:p>
    <w:bookmarkEnd w:id="26"/>
    <w:bookmarkStart w:id="27" w:name="X942fd37aa1fba2e65c074175ab5d06426df85fe"/>
    <w:p>
      <w:pPr>
        <w:pStyle w:val="Heading3"/>
      </w:pPr>
      <w:r>
        <w:t xml:space="preserve">7. Data Ingestion Rules</w:t>
      </w:r>
    </w:p>
    <w:p>
      <w:pPr>
        <w:pStyle w:val="FirstParagraph"/>
      </w:pPr>
      <w:r>
        <w:t xml:space="preserve">All data MUST:</w:t>
      </w:r>
    </w:p>
    <w:p>
      <w:pPr>
        <w:pStyle w:val="Compact"/>
        <w:numPr>
          <w:ilvl w:val="0"/>
          <w:numId w:val="1007"/>
        </w:numPr>
      </w:pPr>
      <w:r>
        <w:t xml:space="preserve">be cryptographically signed at the source,</w:t>
      </w:r>
    </w:p>
    <w:p>
      <w:pPr>
        <w:pStyle w:val="Compact"/>
        <w:numPr>
          <w:ilvl w:val="0"/>
          <w:numId w:val="1007"/>
        </w:numPr>
      </w:pPr>
      <w:r>
        <w:t xml:space="preserve">be time-stamped with a verifiable clock,</w:t>
      </w:r>
    </w:p>
    <w:p>
      <w:pPr>
        <w:pStyle w:val="Compact"/>
        <w:numPr>
          <w:ilvl w:val="0"/>
          <w:numId w:val="1007"/>
        </w:numPr>
      </w:pPr>
      <w:r>
        <w:t xml:space="preserve">be traceable to a registered oracle identity,</w:t>
      </w:r>
    </w:p>
    <w:p>
      <w:pPr>
        <w:pStyle w:val="Compact"/>
        <w:numPr>
          <w:ilvl w:val="0"/>
          <w:numId w:val="1007"/>
        </w:numPr>
      </w:pPr>
      <w:r>
        <w:t xml:space="preserve">be delivered in an open, publicly decodable schema.</w:t>
      </w:r>
    </w:p>
    <w:p>
      <w:pPr>
        <w:pStyle w:val="FirstParagraph"/>
      </w:pPr>
      <w:r>
        <w:t xml:space="preserve">Proprietary or non-decodable data formats SHALL be rejected regardless of signature validity.</w:t>
      </w:r>
    </w:p>
    <w:p>
      <w:pPr>
        <w:pStyle w:val="BodyText"/>
      </w:pPr>
      <w:r>
        <w:t xml:space="preserve">Zero-knowledge proofs MAY be used to verify authenticity without revealing proprietary sensor internals.</w:t>
      </w:r>
    </w:p>
    <w:p>
      <w:pPr>
        <w:pStyle w:val="BodyText"/>
      </w:pPr>
      <w:r>
        <w:t xml:space="preserve">No data may be modified, normalized, aggregated, or interpreted at ingestion time.</w:t>
      </w:r>
    </w:p>
    <w:p>
      <w:r>
        <w:pict>
          <v:rect style="width:0;height:1.5pt" o:hralign="center" o:hrstd="t" o:hr="t"/>
        </w:pict>
      </w:r>
    </w:p>
    <w:bookmarkEnd w:id="27"/>
    <w:bookmarkStart w:id="28" w:name="Xff9d070b4c21129c793444476f95b96c5313d8b"/>
    <w:p>
      <w:pPr>
        <w:pStyle w:val="Heading3"/>
      </w:pPr>
      <w:r>
        <w:t xml:space="preserve">8. Oracle Weighting and Anti-Collusion Constraints</w:t>
      </w:r>
    </w:p>
    <w:p>
      <w:pPr>
        <w:pStyle w:val="Compact"/>
        <w:numPr>
          <w:ilvl w:val="0"/>
          <w:numId w:val="1008"/>
        </w:numPr>
      </w:pPr>
      <w:r>
        <w:t xml:space="preserve">Maximum confidence weight per oracle source:</w:t>
      </w:r>
      <w:r>
        <w:t xml:space="preserve"> </w:t>
      </w:r>
      <w:r>
        <w:rPr>
          <w:b/>
          <w:bCs/>
        </w:rPr>
        <w:t xml:space="preserve">4%</w:t>
      </w:r>
    </w:p>
    <w:p>
      <w:pPr>
        <w:pStyle w:val="Compact"/>
        <w:numPr>
          <w:ilvl w:val="0"/>
          <w:numId w:val="1008"/>
        </w:numPr>
      </w:pPr>
      <w:r>
        <w:t xml:space="preserve">Maximum combined confidence weight per oracle owner:</w:t>
      </w:r>
      <w:r>
        <w:t xml:space="preserve"> </w:t>
      </w:r>
      <w:r>
        <w:rPr>
          <w:b/>
          <w:bCs/>
        </w:rPr>
        <w:t xml:space="preserve">4%</w:t>
      </w:r>
    </w:p>
    <w:p>
      <w:pPr>
        <w:pStyle w:val="FirstParagraph"/>
      </w:pPr>
      <w:r>
        <w:t xml:space="preserve">Ownership caps apply regardless of the number or distribution of devices.</w:t>
      </w:r>
    </w:p>
    <w:p>
      <w:pPr>
        <w:pStyle w:val="BodyText"/>
      </w:pPr>
      <w:r>
        <w:t xml:space="preserve">Exceeding caps results in:</w:t>
      </w:r>
    </w:p>
    <w:p>
      <w:pPr>
        <w:pStyle w:val="Compact"/>
        <w:numPr>
          <w:ilvl w:val="0"/>
          <w:numId w:val="1009"/>
        </w:numPr>
      </w:pPr>
      <w:r>
        <w:t xml:space="preserve">automatic zeroing of excess weight,</w:t>
      </w:r>
    </w:p>
    <w:p>
      <w:pPr>
        <w:pStyle w:val="Compact"/>
        <w:numPr>
          <w:ilvl w:val="0"/>
          <w:numId w:val="1009"/>
        </w:numPr>
      </w:pPr>
      <w:r>
        <w:t xml:space="preserve">slashing of the violating owner’s remaining stake, where applicable.</w:t>
      </w:r>
    </w:p>
    <w:p>
      <w:r>
        <w:pict>
          <v:rect style="width:0;height:1.5pt" o:hralign="center" o:hrstd="t" o:hr="t"/>
        </w:pict>
      </w:r>
    </w:p>
    <w:bookmarkEnd w:id="28"/>
    <w:bookmarkStart w:id="29" w:name="Xe0da2763efc026f1d023e95434ce1dd52103b76"/>
    <w:p>
      <w:pPr>
        <w:pStyle w:val="Heading3"/>
      </w:pPr>
      <w:r>
        <w:t xml:space="preserve">9. Temporal Validity and Data Staleness</w:t>
      </w:r>
    </w:p>
    <w:p>
      <w:pPr>
        <w:pStyle w:val="FirstParagraph"/>
      </w:pPr>
      <w:r>
        <w:t xml:space="preserve">All data types SHALL have an explicit TTL.</w:t>
      </w:r>
    </w:p>
    <w:p>
      <w:pPr>
        <w:pStyle w:val="BodyText"/>
      </w:pPr>
      <w:r>
        <w:t xml:space="preserve">Data exceeding its TTL SHALL have its confidence weight set to zero.</w:t>
      </w:r>
    </w:p>
    <w:p>
      <w:pPr>
        <w:pStyle w:val="BodyText"/>
      </w:pPr>
      <w:r>
        <w:t xml:space="preserve">Stale data MUST NOT be:</w:t>
      </w:r>
    </w:p>
    <w:p>
      <w:pPr>
        <w:pStyle w:val="Compact"/>
        <w:numPr>
          <w:ilvl w:val="0"/>
          <w:numId w:val="1010"/>
        </w:numPr>
      </w:pPr>
      <w:r>
        <w:t xml:space="preserve">extrapolated,</w:t>
      </w:r>
    </w:p>
    <w:p>
      <w:pPr>
        <w:pStyle w:val="Compact"/>
        <w:numPr>
          <w:ilvl w:val="0"/>
          <w:numId w:val="1010"/>
        </w:numPr>
      </w:pPr>
      <w:r>
        <w:t xml:space="preserve">interpolated,</w:t>
      </w:r>
    </w:p>
    <w:p>
      <w:pPr>
        <w:pStyle w:val="Compact"/>
        <w:numPr>
          <w:ilvl w:val="0"/>
          <w:numId w:val="1010"/>
        </w:numPr>
      </w:pPr>
      <w:r>
        <w:t xml:space="preserve">substituted,</w:t>
      </w:r>
    </w:p>
    <w:p>
      <w:pPr>
        <w:pStyle w:val="Compact"/>
        <w:numPr>
          <w:ilvl w:val="0"/>
          <w:numId w:val="1010"/>
        </w:numPr>
      </w:pPr>
      <w:r>
        <w:t xml:space="preserve">averaged into current state.</w:t>
      </w:r>
    </w:p>
    <w:p>
      <w:pPr>
        <w:pStyle w:val="FirstParagraph"/>
      </w:pPr>
      <w:r>
        <w:t xml:space="preserve">Oracle silence, loss of signal, or zero-weight conditions:</w:t>
      </w:r>
    </w:p>
    <w:p>
      <w:pPr>
        <w:pStyle w:val="Compact"/>
        <w:numPr>
          <w:ilvl w:val="0"/>
          <w:numId w:val="1011"/>
        </w:numPr>
      </w:pPr>
      <w:r>
        <w:t xml:space="preserve">SHALL NOT be interpreted as neutral or zero-impact physical states,</w:t>
      </w:r>
    </w:p>
    <w:p>
      <w:pPr>
        <w:pStyle w:val="Compact"/>
        <w:numPr>
          <w:ilvl w:val="0"/>
          <w:numId w:val="1011"/>
        </w:numPr>
      </w:pPr>
      <w:r>
        <w:t xml:space="preserve">MUST propagate upward as</w:t>
      </w:r>
      <w:r>
        <w:t xml:space="preserve"> </w:t>
      </w:r>
      <w:r>
        <w:rPr>
          <w:b/>
          <w:bCs/>
        </w:rPr>
        <w:t xml:space="preserve">explicit uncertainty, degradation, or halt signals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d2b8f8b34fdc35ba4647dc2c7fdb2c0d0993abb"/>
    <w:p>
      <w:pPr>
        <w:pStyle w:val="Heading3"/>
      </w:pPr>
      <w:r>
        <w:t xml:space="preserve">10. Data Aggregation Method</w:t>
      </w:r>
    </w:p>
    <w:p>
      <w:pPr>
        <w:pStyle w:val="FirstParagraph"/>
      </w:pPr>
      <w:r>
        <w:t xml:space="preserve">The PTL aggregates admissible data using a</w:t>
      </w:r>
      <w:r>
        <w:t xml:space="preserve"> </w:t>
      </w:r>
      <w:r>
        <w:rPr>
          <w:b/>
          <w:bCs/>
        </w:rPr>
        <w:t xml:space="preserve">deterministic Bayesian ensemble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Oracle inputs act as likelihood updates, not votes.</w:t>
      </w:r>
    </w:p>
    <w:p>
      <w:pPr>
        <w:pStyle w:val="Compact"/>
        <w:numPr>
          <w:ilvl w:val="0"/>
          <w:numId w:val="1012"/>
        </w:numPr>
      </w:pPr>
      <w:r>
        <w:t xml:space="preserve">Prior weights reflect long-term reliability.</w:t>
      </w:r>
    </w:p>
    <w:p>
      <w:pPr>
        <w:pStyle w:val="Compact"/>
        <w:numPr>
          <w:ilvl w:val="0"/>
          <w:numId w:val="1012"/>
        </w:numPr>
      </w:pPr>
      <w:r>
        <w:t xml:space="preserve">Posterior distributions define S(t).</w:t>
      </w:r>
    </w:p>
    <w:p>
      <w:pPr>
        <w:pStyle w:val="FirstParagraph"/>
      </w:pPr>
      <w:r>
        <w:t xml:space="preserve">Given identical inputs, aggregation MUST be reproducible.</w:t>
      </w:r>
    </w:p>
    <w:p>
      <w:pPr>
        <w:pStyle w:val="BodyText"/>
      </w:pPr>
      <w:r>
        <w:t xml:space="preserve">All aggregation pipelines MUST be auditable and explainable.</w:t>
      </w:r>
    </w:p>
    <w:p>
      <w:r>
        <w:pict>
          <v:rect style="width:0;height:1.5pt" o:hralign="center" o:hrstd="t" o:hr="t"/>
        </w:pict>
      </w:r>
    </w:p>
    <w:bookmarkEnd w:id="30"/>
    <w:bookmarkStart w:id="31" w:name="X83bdb65cca650a1d7c777f27c5b612d4fa9ee7a"/>
    <w:p>
      <w:pPr>
        <w:pStyle w:val="Heading3"/>
      </w:pPr>
      <w:r>
        <w:t xml:space="preserve">11. Divergence Detection and Arbitration</w:t>
      </w:r>
    </w:p>
    <w:p>
      <w:pPr>
        <w:pStyle w:val="FirstParagraph"/>
      </w:pPr>
      <w:r>
        <w:t xml:space="preserve">A Divergence Event is triggered when posterior distributions across independent oracle classes differ by more than</w:t>
      </w:r>
      <w:r>
        <w:t xml:space="preserve"> </w:t>
      </w:r>
      <w:r>
        <w:rPr>
          <w:b/>
          <w:bCs/>
        </w:rPr>
        <w:t xml:space="preserve">7%</w:t>
      </w:r>
      <w:r>
        <w:t xml:space="preserve">.</w:t>
      </w:r>
    </w:p>
    <w:p>
      <w:pPr>
        <w:pStyle w:val="BodyText"/>
      </w:pPr>
      <w:r>
        <w:t xml:space="preserve">Upon a Divergence Event:</w:t>
      </w:r>
    </w:p>
    <w:p>
      <w:pPr>
        <w:pStyle w:val="Compact"/>
        <w:numPr>
          <w:ilvl w:val="0"/>
          <w:numId w:val="1013"/>
        </w:numPr>
      </w:pPr>
      <w:r>
        <w:t xml:space="preserve">a divergence flag is emitted,</w:t>
      </w:r>
    </w:p>
    <w:p>
      <w:pPr>
        <w:pStyle w:val="Compact"/>
        <w:numPr>
          <w:ilvl w:val="0"/>
          <w:numId w:val="1013"/>
        </w:numPr>
      </w:pPr>
      <w:r>
        <w:t xml:space="preserve">all dependent state-based transactions SHALL be frozen.</w:t>
      </w:r>
    </w:p>
    <w:p>
      <w:pPr>
        <w:pStyle w:val="FirstParagraph"/>
      </w:pPr>
      <w:r>
        <w:t xml:space="preserve">Maximum arbitration window:</w:t>
      </w:r>
      <w:r>
        <w:t xml:space="preserve"> </w:t>
      </w:r>
      <w:r>
        <w:rPr>
          <w:b/>
          <w:bCs/>
        </w:rPr>
        <w:t xml:space="preserve">14 days</w:t>
      </w:r>
      <w:r>
        <w:t xml:space="preserve">.</w:t>
      </w:r>
    </w:p>
    <w:p>
      <w:pPr>
        <w:pStyle w:val="BodyText"/>
      </w:pPr>
      <w:r>
        <w:t xml:space="preserve">Resolution requires:</w:t>
      </w:r>
    </w:p>
    <w:p>
      <w:pPr>
        <w:pStyle w:val="Compact"/>
        <w:numPr>
          <w:ilvl w:val="0"/>
          <w:numId w:val="1014"/>
        </w:numPr>
      </w:pPr>
      <w:r>
        <w:t xml:space="preserve">convergence within the threshold, or</w:t>
      </w:r>
    </w:p>
    <w:p>
      <w:pPr>
        <w:pStyle w:val="Compact"/>
        <w:numPr>
          <w:ilvl w:val="0"/>
          <w:numId w:val="1014"/>
        </w:numPr>
      </w:pPr>
      <w:r>
        <w:t xml:space="preserve">exclusion of faulty or compromised sources.</w:t>
      </w:r>
    </w:p>
    <w:p>
      <w:r>
        <w:pict>
          <v:rect style="width:0;height:1.5pt" o:hralign="center" o:hrstd="t" o:hr="t"/>
        </w:pict>
      </w:r>
    </w:p>
    <w:bookmarkEnd w:id="31"/>
    <w:bookmarkStart w:id="32" w:name="Xfdc3f7c13b4ee6bb0499008a4e94d5b4f21a4c8"/>
    <w:p>
      <w:pPr>
        <w:pStyle w:val="Heading3"/>
      </w:pPr>
      <w:r>
        <w:t xml:space="preserve">12. Outputs</w:t>
      </w:r>
    </w:p>
    <w:p>
      <w:pPr>
        <w:pStyle w:val="FirstParagraph"/>
      </w:pPr>
      <w:r>
        <w:t xml:space="preserve">The PTL produces the following immutable outputs:</w:t>
      </w:r>
    </w:p>
    <w:p>
      <w:pPr>
        <w:pStyle w:val="Compact"/>
        <w:numPr>
          <w:ilvl w:val="0"/>
          <w:numId w:val="1015"/>
        </w:numPr>
      </w:pPr>
      <w:r>
        <w:t xml:space="preserve">Signed Physical State Vector S(t)</w:t>
      </w:r>
    </w:p>
    <w:p>
      <w:pPr>
        <w:pStyle w:val="Compact"/>
        <w:numPr>
          <w:ilvl w:val="0"/>
          <w:numId w:val="1015"/>
        </w:numPr>
      </w:pPr>
      <w:r>
        <w:t xml:space="preserve">Oracle confidence weights</w:t>
      </w:r>
    </w:p>
    <w:p>
      <w:pPr>
        <w:pStyle w:val="Compact"/>
        <w:numPr>
          <w:ilvl w:val="0"/>
          <w:numId w:val="1015"/>
        </w:numPr>
      </w:pPr>
      <w:r>
        <w:t xml:space="preserve">Coverage metrics</w:t>
      </w:r>
    </w:p>
    <w:p>
      <w:pPr>
        <w:pStyle w:val="Compact"/>
        <w:numPr>
          <w:ilvl w:val="0"/>
          <w:numId w:val="1015"/>
        </w:numPr>
      </w:pPr>
      <w:r>
        <w:t xml:space="preserve">Divergence flags</w:t>
      </w:r>
    </w:p>
    <w:p>
      <w:pPr>
        <w:pStyle w:val="Compact"/>
        <w:numPr>
          <w:ilvl w:val="0"/>
          <w:numId w:val="1015"/>
        </w:numPr>
      </w:pPr>
      <w:r>
        <w:t xml:space="preserve">Confidence envelope for each output ∈ [0,1]</w:t>
      </w:r>
    </w:p>
    <w:p>
      <w:pPr>
        <w:pStyle w:val="Compact"/>
        <w:numPr>
          <w:ilvl w:val="0"/>
          <w:numId w:val="1015"/>
        </w:numPr>
      </w:pPr>
      <w:r>
        <w:t xml:space="preserve">Raw Biosphere Integrity Index B(t)</w:t>
      </w:r>
    </w:p>
    <w:p>
      <w:pPr>
        <w:pStyle w:val="FirstParagraph"/>
      </w:pPr>
      <w:r>
        <w:t xml:space="preserve">B(t) is a</w:t>
      </w:r>
      <w:r>
        <w:t xml:space="preserve"> </w:t>
      </w:r>
      <w:r>
        <w:rPr>
          <w:b/>
          <w:bCs/>
        </w:rPr>
        <w:t xml:space="preserve">composite physical index</w:t>
      </w:r>
      <w:r>
        <w:t xml:space="preserve">, constructed exclusively from PTL-admissible measurements.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model, aggregation logic, weighting, and calibration of B(t)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defined in PTL</w:t>
      </w:r>
      <w:r>
        <w:t xml:space="preserve"> </w:t>
      </w:r>
      <w:r>
        <w:t xml:space="preserve">and MUST be explicitly specified in</w:t>
      </w:r>
      <w:r>
        <w:t xml:space="preserve"> </w:t>
      </w:r>
      <w:r>
        <w:rPr>
          <w:b/>
          <w:bCs/>
        </w:rPr>
        <w:t xml:space="preserve">DKP-8-SIMULATION-001</w:t>
      </w:r>
      <w:r>
        <w:t xml:space="preserve">.</w:t>
      </w:r>
    </w:p>
    <w:p>
      <w:pPr>
        <w:pStyle w:val="BodyText"/>
      </w:pPr>
      <w:r>
        <w:t xml:space="preserve">PTL SHALL NOT modify, tune, normalize, or reinterpret B(t) beyond emitting its raw, model-declared output.</w:t>
      </w:r>
    </w:p>
    <w:p>
      <w:pPr>
        <w:pStyle w:val="BodyText"/>
      </w:pPr>
      <w:r>
        <w:t xml:space="preserve">Until an attached and valid L8 calibration bundle exists, B(t) SHALL be treated as</w:t>
      </w:r>
      <w:r>
        <w:t xml:space="preserve"> </w:t>
      </w:r>
      <w:r>
        <w:rPr>
          <w:b/>
          <w:bCs/>
        </w:rPr>
        <w:t xml:space="preserve">informational only</w:t>
      </w:r>
      <w:r>
        <w:t xml:space="preserve"> </w:t>
      </w:r>
      <w:r>
        <w:t xml:space="preserve">and SHALL NOT trigger enforcement.</w:t>
      </w:r>
    </w:p>
    <w:p>
      <w:r>
        <w:pict>
          <v:rect style="width:0;height:1.5pt" o:hralign="center" o:hrstd="t" o:hr="t"/>
        </w:pict>
      </w:r>
    </w:p>
    <w:bookmarkEnd w:id="32"/>
    <w:bookmarkStart w:id="33" w:name="X6b136805ddb0e8791d87778ce89d12bf968fdf3"/>
    <w:p>
      <w:pPr>
        <w:pStyle w:val="Heading3"/>
      </w:pPr>
      <w:r>
        <w:t xml:space="preserve">13. Systemic Halt Conditions</w:t>
      </w:r>
    </w:p>
    <w:p>
      <w:pPr>
        <w:pStyle w:val="FirstParagraph"/>
      </w:pPr>
      <w:r>
        <w:t xml:space="preserve">All dependent governance execution layers MUST halt if any of the following conditions occur:</w:t>
      </w:r>
    </w:p>
    <w:p>
      <w:pPr>
        <w:pStyle w:val="Compact"/>
        <w:numPr>
          <w:ilvl w:val="0"/>
          <w:numId w:val="1016"/>
        </w:numPr>
      </w:pPr>
      <w:r>
        <w:t xml:space="preserve">aggregate confidence falls below</w:t>
      </w:r>
      <w:r>
        <w:t xml:space="preserve"> </w:t>
      </w:r>
      <w:r>
        <w:rPr>
          <w:b/>
          <w:bCs/>
        </w:rPr>
        <w:t xml:space="preserve">60%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t xml:space="preserve">global coverage falls below the minimum operational threshold,</w:t>
      </w:r>
    </w:p>
    <w:p>
      <w:pPr>
        <w:pStyle w:val="Compact"/>
        <w:numPr>
          <w:ilvl w:val="0"/>
          <w:numId w:val="1016"/>
        </w:numPr>
      </w:pPr>
      <w:r>
        <w:t xml:space="preserve">systemic oracle integrity is compromised.</w:t>
      </w:r>
    </w:p>
    <w:p>
      <w:pPr>
        <w:pStyle w:val="FirstParagraph"/>
      </w:pPr>
      <w:r>
        <w:t xml:space="preserve">Systemic Halt:</w:t>
      </w:r>
    </w:p>
    <w:p>
      <w:pPr>
        <w:pStyle w:val="Compact"/>
        <w:numPr>
          <w:ilvl w:val="0"/>
          <w:numId w:val="1017"/>
        </w:numPr>
      </w:pPr>
      <w:r>
        <w:t xml:space="preserve">blocks execution of L2 and higher layers,</w:t>
      </w:r>
    </w:p>
    <w:p>
      <w:pPr>
        <w:pStyle w:val="Compact"/>
        <w:numPr>
          <w:ilvl w:val="0"/>
          <w:numId w:val="1017"/>
        </w:numPr>
      </w:pPr>
      <w:r>
        <w:t xml:space="preserve">SHALL NOT erase, reset, reinterpret, or invalidate L1 state,</w:t>
      </w:r>
    </w:p>
    <w:p>
      <w:pPr>
        <w:pStyle w:val="Compact"/>
        <w:numPr>
          <w:ilvl w:val="0"/>
          <w:numId w:val="1017"/>
        </w:numPr>
      </w:pPr>
      <w:r>
        <w:t xml:space="preserve">preserves identity attribution, impact records, and subject continuity.</w:t>
      </w:r>
    </w:p>
    <w:p>
      <w:r>
        <w:pict>
          <v:rect style="width:0;height:1.5pt" o:hralign="center" o:hrstd="t" o:hr="t"/>
        </w:pict>
      </w:r>
    </w:p>
    <w:bookmarkEnd w:id="33"/>
    <w:bookmarkStart w:id="34" w:name="X256e72f56d8121bbb333729d27d6761fe3113c8"/>
    <w:p>
      <w:pPr>
        <w:pStyle w:val="Heading3"/>
      </w:pPr>
      <w:r>
        <w:t xml:space="preserve">14. Crisis Mercy Exception</w:t>
      </w:r>
    </w:p>
    <w:p>
      <w:pPr>
        <w:pStyle w:val="FirstParagraph"/>
      </w:pPr>
      <w:r>
        <w:t xml:space="preserve">If a Crisis Mercy status is formally activated under Appendix A.4 of the Code of Planetary Synergy, and the PTL confirms that oracle degradation is caused by</w:t>
      </w:r>
      <w:r>
        <w:t xml:space="preserve"> </w:t>
      </w:r>
      <w:r>
        <w:rPr>
          <w:b/>
          <w:bCs/>
        </w:rPr>
        <w:t xml:space="preserve">non-anthropogenic global physical events</w:t>
      </w:r>
      <w:r>
        <w:t xml:space="preserve">, enforcement of Systemic Halt MAY be temporarily deferred.</w:t>
      </w:r>
    </w:p>
    <w:p>
      <w:pPr>
        <w:pStyle w:val="BodyText"/>
      </w:pPr>
      <w:r>
        <w:t xml:space="preserve">For avoidance of doubt:</w:t>
      </w:r>
    </w:p>
    <w:p>
      <w:pPr>
        <w:pStyle w:val="BodyText"/>
      </w:pPr>
      <w:r>
        <w:t xml:space="preserve">Events resulting from</w:t>
      </w:r>
      <w:r>
        <w:t xml:space="preserve"> </w:t>
      </w:r>
      <w:r>
        <w:rPr>
          <w:b/>
          <w:bCs/>
        </w:rPr>
        <w:t xml:space="preserve">human action, negligence, sabotage, coordinated sensor manipulation, or deliberate oracle interference</w:t>
      </w:r>
      <w:r>
        <w:t xml:space="preserve"> </w:t>
      </w:r>
      <w:r>
        <w:t xml:space="preserve">SHALL NOT be classified as non-anthropogenic.</w:t>
      </w:r>
    </w:p>
    <w:p>
      <w:pPr>
        <w:pStyle w:val="BodyText"/>
      </w:pPr>
      <w:r>
        <w:t xml:space="preserve">Such deferral:</w:t>
      </w:r>
    </w:p>
    <w:p>
      <w:pPr>
        <w:pStyle w:val="Compact"/>
        <w:numPr>
          <w:ilvl w:val="0"/>
          <w:numId w:val="1018"/>
        </w:numPr>
      </w:pPr>
      <w:r>
        <w:t xml:space="preserve">DOES NOT modify TTL values,</w:t>
      </w:r>
    </w:p>
    <w:p>
      <w:pPr>
        <w:pStyle w:val="Compact"/>
        <w:numPr>
          <w:ilvl w:val="0"/>
          <w:numId w:val="1018"/>
        </w:numPr>
      </w:pPr>
      <w:r>
        <w:t xml:space="preserve">DOES NOT restore stale data weights,</w:t>
      </w:r>
    </w:p>
    <w:p>
      <w:pPr>
        <w:pStyle w:val="Compact"/>
        <w:numPr>
          <w:ilvl w:val="0"/>
          <w:numId w:val="1018"/>
        </w:numPr>
      </w:pPr>
      <w:r>
        <w:t xml:space="preserve">DOES NOT alter aggregation logic,</w:t>
      </w:r>
    </w:p>
    <w:p>
      <w:pPr>
        <w:pStyle w:val="Compact"/>
        <w:numPr>
          <w:ilvl w:val="0"/>
          <w:numId w:val="1018"/>
        </w:numPr>
      </w:pPr>
      <w:r>
        <w:t xml:space="preserve">IS strictly time-limited in accordance with Appendix A.4,</w:t>
      </w:r>
    </w:p>
    <w:p>
      <w:pPr>
        <w:pStyle w:val="Compact"/>
        <w:numPr>
          <w:ilvl w:val="0"/>
          <w:numId w:val="1018"/>
        </w:numPr>
      </w:pPr>
      <w:r>
        <w:t xml:space="preserve">DOES NOT create normative or precedential authority (see DKP-7-SCOPE-001).</w:t>
      </w:r>
    </w:p>
    <w:p>
      <w:r>
        <w:pict>
          <v:rect style="width:0;height:1.5pt" o:hralign="center" o:hrstd="t" o:hr="t"/>
        </w:pict>
      </w:r>
    </w:p>
    <w:bookmarkEnd w:id="34"/>
    <w:bookmarkStart w:id="35" w:name="X7cf3929989ef76e054e4f0b0b1c8a27c6c62151"/>
    <w:p>
      <w:pPr>
        <w:pStyle w:val="Heading3"/>
      </w:pPr>
      <w:r>
        <w:t xml:space="preserve">15. Cross-Layer Isolation Invariant</w:t>
      </w:r>
    </w:p>
    <w:p>
      <w:pPr>
        <w:pStyle w:val="FirstParagraph"/>
      </w:pPr>
      <w:r>
        <w:t xml:space="preserve">No higher-layer protocol may:</w:t>
      </w:r>
    </w:p>
    <w:p>
      <w:pPr>
        <w:pStyle w:val="Compact"/>
        <w:numPr>
          <w:ilvl w:val="0"/>
          <w:numId w:val="1019"/>
        </w:numPr>
      </w:pPr>
      <w:r>
        <w:t xml:space="preserve">influence oracle weights,</w:t>
      </w:r>
    </w:p>
    <w:p>
      <w:pPr>
        <w:pStyle w:val="Compact"/>
        <w:numPr>
          <w:ilvl w:val="0"/>
          <w:numId w:val="1019"/>
        </w:numPr>
      </w:pPr>
      <w:r>
        <w:t xml:space="preserve">modify TTL values,</w:t>
      </w:r>
    </w:p>
    <w:p>
      <w:pPr>
        <w:pStyle w:val="Compact"/>
        <w:numPr>
          <w:ilvl w:val="0"/>
          <w:numId w:val="1019"/>
        </w:numPr>
      </w:pPr>
      <w:r>
        <w:t xml:space="preserve">alter aggregation logic,</w:t>
      </w:r>
    </w:p>
    <w:p>
      <w:pPr>
        <w:pStyle w:val="Compact"/>
        <w:numPr>
          <w:ilvl w:val="0"/>
          <w:numId w:val="1019"/>
        </w:numPr>
      </w:pPr>
      <w:r>
        <w:t xml:space="preserve">suppress divergence flags,</w:t>
      </w:r>
    </w:p>
    <w:p>
      <w:pPr>
        <w:pStyle w:val="Compact"/>
        <w:numPr>
          <w:ilvl w:val="0"/>
          <w:numId w:val="1019"/>
        </w:numPr>
      </w:pPr>
      <w:r>
        <w:t xml:space="preserve">reinterpret confidence envelopes.</w:t>
      </w:r>
    </w:p>
    <w:p>
      <w:pPr>
        <w:pStyle w:val="FirstParagraph"/>
      </w:pPr>
      <w:r>
        <w:t xml:space="preserve">Violation constitutes a</w:t>
      </w:r>
      <w:r>
        <w:t xml:space="preserve"> </w:t>
      </w:r>
      <w:r>
        <w:rPr>
          <w:b/>
          <w:bCs/>
        </w:rPr>
        <w:t xml:space="preserve">critical system integrity breach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f1402304e002bc9125c0cca2bc302549f018228"/>
    <w:p>
      <w:pPr>
        <w:pStyle w:val="Heading3"/>
      </w:pPr>
      <w:r>
        <w:t xml:space="preserve">16. Table of 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oracle source weight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oracle owner weight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threshold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Arbitration window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confidence halt</w:t>
            </w:r>
          </w:p>
        </w:tc>
        <w:tc>
          <w:tcPr/>
          <w:p>
            <w:pPr>
              <w:pStyle w:val="Compact"/>
            </w:pPr>
            <w:r>
              <w:t xml:space="preserve">&lt;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global coverage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556091f6ad262b21078a4c792bb1f04c7fe9637"/>
    <w:p>
      <w:pPr>
        <w:pStyle w:val="Heading3"/>
      </w:pPr>
      <w:r>
        <w:t xml:space="preserve">17. TTL Registry (Normative)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Maximum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Atmospheric CO₂ concentration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temperature (land/sea)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fire detection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Biodiversity indices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Land-use change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Xb4dda7bd0617ce5375236be72b0f7cb575323d7"/>
    <w:p>
      <w:pPr>
        <w:pStyle w:val="Heading3"/>
      </w:pPr>
      <w:r>
        <w:t xml:space="preserve">18. Non-Override and Finality</w:t>
      </w:r>
    </w:p>
    <w:p>
      <w:pPr>
        <w:pStyle w:val="FirstParagraph"/>
      </w:pPr>
      <w:r>
        <w:t xml:space="preserve">This protocol is immutable once deployed.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20"/>
        </w:numPr>
      </w:pPr>
      <w:r>
        <w:t xml:space="preserve">a new protocol identifier,</w:t>
      </w:r>
    </w:p>
    <w:p>
      <w:pPr>
        <w:pStyle w:val="Compact"/>
        <w:numPr>
          <w:ilvl w:val="0"/>
          <w:numId w:val="1020"/>
        </w:numPr>
      </w:pPr>
      <w:r>
        <w:t xml:space="preserve">an explicit incompatibility declaration,</w:t>
      </w:r>
    </w:p>
    <w:p>
      <w:pPr>
        <w:pStyle w:val="Compact"/>
        <w:numPr>
          <w:ilvl w:val="0"/>
          <w:numId w:val="1020"/>
        </w:numPr>
      </w:pPr>
      <w:r>
        <w:t xml:space="preserve">re-anchoring assessment against Genesis Block #0.</w:t>
      </w:r>
    </w:p>
    <w:bookmarkStart w:id="38" w:name="epistemic-interpretation-note"/>
    <w:p>
      <w:pPr>
        <w:pStyle w:val="Heading4"/>
      </w:pPr>
      <w:r>
        <w:t xml:space="preserve">Epistemic Interpretation Note</w:t>
      </w:r>
    </w:p>
    <w:p>
      <w:pPr>
        <w:pStyle w:val="FirstParagraph"/>
      </w:pPr>
      <w:r>
        <w:t xml:space="preserve">PTL outputs are measurement records of physical states at specific times.</w:t>
      </w:r>
    </w:p>
    <w:p>
      <w:pPr>
        <w:pStyle w:val="BodyText"/>
      </w:pPr>
      <w:r>
        <w:t xml:space="preserve">Their "finality" and "non-override" properties reflect:</w:t>
      </w:r>
    </w:p>
    <w:p>
      <w:pPr>
        <w:pStyle w:val="BodyText"/>
      </w:pPr>
      <w:r>
        <w:t xml:space="preserve">a) The impossibility of changing past physical states</w:t>
      </w:r>
    </w:p>
    <w:p>
      <w:pPr>
        <w:pStyle w:val="BodyText"/>
      </w:pPr>
      <w:r>
        <w:t xml:space="preserve">b) The prohibition on higher layers overriding measured reality</w:t>
      </w:r>
    </w:p>
    <w:p>
      <w:pPr>
        <w:pStyle w:val="BodyText"/>
      </w:pPr>
      <w:r>
        <w:t xml:space="preserve">This does NOT constitute:</w:t>
      </w:r>
    </w:p>
    <w:p>
      <w:pPr>
        <w:pStyle w:val="BodyText"/>
      </w:pPr>
      <w:r>
        <w:t xml:space="preserve">a) A claim that PTL measurements represent absolute truth</w:t>
      </w:r>
    </w:p>
    <w:p>
      <w:pPr>
        <w:pStyle w:val="BodyText"/>
      </w:pPr>
      <w:r>
        <w:t xml:space="preserve">b) Immunity from measurement error correction under DKP-4-ERROR-001</w:t>
      </w:r>
    </w:p>
    <w:p>
      <w:pPr>
        <w:pStyle w:val="BodyText"/>
      </w:pPr>
      <w:r>
        <w:t xml:space="preserve">c) Permanent validity beyond defined TTL windows</w:t>
      </w:r>
    </w:p>
    <w:p>
      <w:pPr>
        <w:pStyle w:val="BodyText"/>
      </w:pPr>
      <w:r>
        <w:t xml:space="preserve">PTL outputs remain bounded evaluations per DKP-1-EPISTEMIC-BOUNDARIES-001.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2026-10-04T10:23:45Z</dcterms:created>
  <dcterms:modified xsi:type="dcterms:W3CDTF">2026-10-04T10:23:45Z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