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kp-0-time-001"/>
    <w:p>
      <w:pPr>
        <w:pStyle w:val="Heading1"/>
      </w:pPr>
      <w:r>
        <w:t xml:space="preserve">DKP-0-TIME-001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Xabd373c1a6e8f10fc6bb33c0d8d95807fb6d681"/>
    <w:p>
      <w:pPr>
        <w:pStyle w:val="Heading3"/>
      </w:pPr>
      <w:r>
        <w:t xml:space="preserve">Dikenocratic Time &amp; Date Index Protocol (DTI)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DKP-0-TIME-001 defines a</w:t>
      </w:r>
      <w:r>
        <w:t xml:space="preserve"> </w:t>
      </w:r>
      <w:r>
        <w:rPr>
          <w:b/>
          <w:bCs/>
        </w:rPr>
        <w:t xml:space="preserve">non-religious, event-neutral, deterministic system for counting days and years</w:t>
      </w:r>
      <w:r>
        <w:t xml:space="preserve"> </w:t>
      </w:r>
      <w:r>
        <w:t xml:space="preserve">within the Dikenocracy framework.</w:t>
      </w:r>
    </w:p>
    <w:p>
      <w:pPr>
        <w:pStyle w:val="BodyText"/>
      </w:pPr>
      <w:r>
        <w:t xml:space="preserve">The protocol establishes:</w:t>
      </w:r>
    </w:p>
    <w:p>
      <w:pPr>
        <w:pStyle w:val="Compact"/>
        <w:numPr>
          <w:ilvl w:val="0"/>
          <w:numId w:val="1001"/>
        </w:numPr>
      </w:pPr>
      <w:r>
        <w:t xml:space="preserve">a canonical</w:t>
      </w:r>
      <w:r>
        <w:t xml:space="preserve"> </w:t>
      </w:r>
      <w:r>
        <w:rPr>
          <w:b/>
          <w:bCs/>
        </w:rPr>
        <w:t xml:space="preserve">absolute civil day index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fixed-length governance year</w:t>
      </w:r>
      <w:r>
        <w:t xml:space="preserve"> </w:t>
      </w:r>
      <w:r>
        <w:t xml:space="preserve">for accountability and reporting,</w:t>
      </w:r>
    </w:p>
    <w:p>
      <w:pPr>
        <w:pStyle w:val="Compact"/>
        <w:numPr>
          <w:ilvl w:val="0"/>
          <w:numId w:val="1001"/>
        </w:numPr>
      </w:pPr>
      <w:r>
        <w:t xml:space="preserve">precise and auditable</w:t>
      </w:r>
      <w:r>
        <w:t xml:space="preserve"> </w:t>
      </w:r>
      <w:r>
        <w:rPr>
          <w:b/>
          <w:bCs/>
        </w:rPr>
        <w:t xml:space="preserve">conversion rules</w:t>
      </w:r>
      <w:r>
        <w:t xml:space="preserve"> </w:t>
      </w:r>
      <w:r>
        <w:t xml:space="preserve">to and from the Gregorian calendar when external interoperability is required.</w:t>
      </w:r>
    </w:p>
    <w:p>
      <w:pPr>
        <w:pStyle w:val="FirstParagraph"/>
      </w:pPr>
      <w:r>
        <w:t xml:space="preserve">This protocol explicitly avoids:</w:t>
      </w:r>
    </w:p>
    <w:p>
      <w:pPr>
        <w:pStyle w:val="Compact"/>
        <w:numPr>
          <w:ilvl w:val="0"/>
          <w:numId w:val="1002"/>
        </w:numPr>
      </w:pPr>
      <w:r>
        <w:t xml:space="preserve">religious eras or holidays,</w:t>
      </w:r>
    </w:p>
    <w:p>
      <w:pPr>
        <w:pStyle w:val="Compact"/>
        <w:numPr>
          <w:ilvl w:val="0"/>
          <w:numId w:val="1002"/>
        </w:numPr>
      </w:pPr>
      <w:r>
        <w:t xml:space="preserve">historical or mythological reference events,</w:t>
      </w:r>
    </w:p>
    <w:p>
      <w:pPr>
        <w:pStyle w:val="Compact"/>
        <w:numPr>
          <w:ilvl w:val="0"/>
          <w:numId w:val="1002"/>
        </w:numPr>
      </w:pPr>
      <w:r>
        <w:t xml:space="preserve">variable or exception-based calendar logic.</w:t>
      </w:r>
    </w:p>
    <w:p>
      <w:r>
        <w:pict>
          <v:rect style="width:0;height:1.5pt" o:hralign="center" o:hrstd="t" o:hr="t"/>
        </w:pict>
      </w:r>
    </w:p>
    <w:bookmarkEnd w:id="10"/>
    <w:bookmarkStart w:id="11" w:name="X1534150ea58cbfe048d58a0a709e01516c53c78"/>
    <w:p>
      <w:pPr>
        <w:pStyle w:val="Heading3"/>
      </w:pPr>
      <w:r>
        <w:t xml:space="preserve">2. Design Principles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Neutrality</w:t>
      </w:r>
    </w:p>
    <w:p>
      <w:pPr>
        <w:numPr>
          <w:ilvl w:val="0"/>
          <w:numId w:val="1000"/>
        </w:numPr>
      </w:pPr>
      <w:r>
        <w:t xml:space="preserve">Time MUST NOT be anchored to religious, cultural, political, or personal events.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Determinism</w:t>
      </w:r>
    </w:p>
    <w:p>
      <w:pPr>
        <w:numPr>
          <w:ilvl w:val="0"/>
          <w:numId w:val="1000"/>
        </w:numPr>
      </w:pPr>
      <w:r>
        <w:t xml:space="preserve">Any date MUST be uniquely computable from its canonical representation.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Auditability</w:t>
      </w:r>
    </w:p>
    <w:p>
      <w:pPr>
        <w:numPr>
          <w:ilvl w:val="0"/>
          <w:numId w:val="1000"/>
        </w:numPr>
      </w:pPr>
      <w:r>
        <w:t xml:space="preserve">Any record MUST allow independent recomputation of its time index.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Governance Fitness</w:t>
      </w:r>
    </w:p>
    <w:p>
      <w:pPr>
        <w:numPr>
          <w:ilvl w:val="0"/>
          <w:numId w:val="1000"/>
        </w:numPr>
      </w:pPr>
      <w:r>
        <w:t xml:space="preserve">Time units MUST be simple, fixed-length, and suitable for legal, financial, and KPI logic.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Interoperability</w:t>
      </w:r>
    </w:p>
    <w:p>
      <w:pPr>
        <w:numPr>
          <w:ilvl w:val="0"/>
          <w:numId w:val="1000"/>
        </w:numPr>
      </w:pPr>
      <w:r>
        <w:t xml:space="preserve">Explicit conversion rules to and from civil calendars MUST be provided.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3"/>
      </w:pPr>
      <w:r>
        <w:t xml:space="preserve">3. Definitions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JDN (Julian Day Number)</w:t>
      </w:r>
    </w:p>
    <w:p>
      <w:pPr>
        <w:numPr>
          <w:ilvl w:val="0"/>
          <w:numId w:val="1000"/>
        </w:numPr>
      </w:pPr>
      <w:r>
        <w:t xml:space="preserve">An integer count of civil days (midnight-to-midnight) in the proleptic Gregorian calendar.</w:t>
      </w:r>
    </w:p>
    <w:p>
      <w:pPr>
        <w:pStyle w:val="FirstParagraph"/>
      </w:pPr>
      <w:r>
        <w:rPr>
          <w:b/>
          <w:bCs/>
        </w:rPr>
        <w:t xml:space="preserve">DTI-Day</w:t>
      </w:r>
    </w:p>
    <w:p>
      <w:pPr>
        <w:pStyle w:val="BodyText"/>
      </w:pPr>
      <w:r>
        <w:t xml:space="preserve">The canonical absolute civil day index used by Dikenocracy.</w:t>
      </w:r>
    </w:p>
    <w:p>
      <w:pPr>
        <w:pStyle w:val="BodyText"/>
      </w:pPr>
      <w:r>
        <w:rPr>
          <w:b/>
          <w:bCs/>
        </w:rPr>
        <w:t xml:space="preserve">Definition:</w:t>
      </w:r>
    </w:p>
    <w:p>
      <w:pPr>
        <w:pStyle w:val="BodyText"/>
      </w:pPr>
      <w:r>
        <w:rPr>
          <w:rStyle w:val="VerbatimChar"/>
        </w:rPr>
        <w:t xml:space="preserve">DTI-Day = JDN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DTI-Year (DY)</w:t>
      </w:r>
    </w:p>
    <w:p>
      <w:pPr>
        <w:numPr>
          <w:ilvl w:val="0"/>
          <w:numId w:val="1000"/>
        </w:numPr>
      </w:pPr>
      <w:r>
        <w:t xml:space="preserve">A governance year consisting of exactly</w:t>
      </w:r>
      <w:r>
        <w:t xml:space="preserve"> </w:t>
      </w:r>
      <w:r>
        <w:rPr>
          <w:b/>
          <w:bCs/>
        </w:rPr>
        <w:t xml:space="preserve">360 consecutive DTI-Days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Day-of-Year (DOY)</w:t>
      </w:r>
    </w:p>
    <w:p>
      <w:pPr>
        <w:numPr>
          <w:ilvl w:val="0"/>
          <w:numId w:val="1000"/>
        </w:numPr>
      </w:pPr>
      <w:r>
        <w:t xml:space="preserve">A 1-based index of a day within a DTI-Year, in the range</w:t>
      </w:r>
      <w:r>
        <w:t xml:space="preserve"> </w:t>
      </w:r>
      <w:r>
        <w:rPr>
          <w:b/>
          <w:bCs/>
        </w:rPr>
        <w:t xml:space="preserve">1…360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5" w:name="X0cff4e88090bfbb92e1c41c526010da8ccef4ba"/>
    <w:p>
      <w:pPr>
        <w:pStyle w:val="Heading3"/>
      </w:pPr>
      <w:r>
        <w:t xml:space="preserve">4. Normative Time Units</w:t>
      </w:r>
    </w:p>
    <w:bookmarkStart w:id="13" w:name="Xb1f9eaa127bbcd86234ef8837f2d6beb45ba588"/>
    <w:p>
      <w:pPr>
        <w:pStyle w:val="Heading4"/>
      </w:pPr>
      <w:r>
        <w:t xml:space="preserve">4.1 Base Unit</w:t>
      </w:r>
    </w:p>
    <w:p>
      <w:pPr>
        <w:pStyle w:val="Compact"/>
        <w:numPr>
          <w:ilvl w:val="0"/>
          <w:numId w:val="1006"/>
        </w:numPr>
      </w:pPr>
      <w:r>
        <w:t xml:space="preserve">The base temporal unit of DKP-TIME-001 MUST be the</w:t>
      </w:r>
      <w:r>
        <w:t xml:space="preserve"> </w:t>
      </w:r>
      <w:r>
        <w:rPr>
          <w:b/>
          <w:bCs/>
        </w:rPr>
        <w:t xml:space="preserve">civil day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Sub-day units (hours, minutes, seconds) MUST NOT be required by this protocol.</w:t>
      </w:r>
    </w:p>
    <w:bookmarkEnd w:id="13"/>
    <w:bookmarkStart w:id="14" w:name="X9284fc0ff10afff77228309c649e8c239a7d611"/>
    <w:p>
      <w:pPr>
        <w:pStyle w:val="Heading4"/>
      </w:pPr>
      <w:r>
        <w:t xml:space="preserve">4.2 Governance Year</w:t>
      </w:r>
    </w:p>
    <w:p>
      <w:pPr>
        <w:pStyle w:val="Compact"/>
        <w:numPr>
          <w:ilvl w:val="0"/>
          <w:numId w:val="1007"/>
        </w:numPr>
      </w:pPr>
      <w:r>
        <w:t xml:space="preserve">A DTI-Year MUST contain exactly</w:t>
      </w:r>
      <w:r>
        <w:t xml:space="preserve"> </w:t>
      </w:r>
      <w:r>
        <w:rPr>
          <w:b/>
          <w:bCs/>
        </w:rPr>
        <w:t xml:space="preserve">360 DTI-Days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Leap days, leap years, or corrective rules MUST NOT exist.</w:t>
      </w:r>
    </w:p>
    <w:p>
      <w:pPr>
        <w:pStyle w:val="Compact"/>
        <w:numPr>
          <w:ilvl w:val="0"/>
          <w:numId w:val="1007"/>
        </w:numPr>
      </w:pPr>
      <w:r>
        <w:t xml:space="preserve">Year boundaries MUST be defined purely arithmetically.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7d1536a5dc5250a6a18c1a3e3d88d9cd7260e79"/>
    <w:p>
      <w:pPr>
        <w:pStyle w:val="Heading3"/>
      </w:pPr>
      <w:r>
        <w:t xml:space="preserve">5. Canonical Date Representation</w:t>
      </w:r>
    </w:p>
    <w:bookmarkStart w:id="16" w:name="Xbe50656431f782e13301a6cb318b47c06fe58da"/>
    <w:p>
      <w:pPr>
        <w:pStyle w:val="Heading4"/>
      </w:pPr>
      <w:r>
        <w:t xml:space="preserve">5.1 Numeric Form</w:t>
      </w:r>
    </w:p>
    <w:p>
      <w:pPr>
        <w:pStyle w:val="FirstParagraph"/>
      </w:pPr>
      <w:r>
        <w:t xml:space="preserve">Given a canonical</w:t>
      </w:r>
      <w:r>
        <w:t xml:space="preserve"> </w:t>
      </w:r>
      <w:r>
        <w:rPr>
          <w:rStyle w:val="VerbatimChar"/>
        </w:rPr>
        <w:t xml:space="preserve">DTI-Day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DY = floor(DTI-Day / 360)</w:t>
      </w:r>
    </w:p>
    <w:p>
      <w:pPr>
        <w:pStyle w:val="BodyText"/>
      </w:pPr>
      <w:r>
        <w:rPr>
          <w:rStyle w:val="VerbatimChar"/>
        </w:rPr>
        <w:t xml:space="preserve">DOY = (DTI-Day mod 360) + 1</w:t>
      </w:r>
    </w:p>
    <w:bookmarkEnd w:id="16"/>
    <w:bookmarkStart w:id="17" w:name="X7cfc312993c7ee9704211b2f4fd006bbc68dfd4"/>
    <w:p>
      <w:pPr>
        <w:pStyle w:val="Heading4"/>
      </w:pPr>
      <w:r>
        <w:t xml:space="preserve">5.2 String Form</w:t>
      </w:r>
    </w:p>
    <w:p>
      <w:pPr>
        <w:pStyle w:val="FirstParagraph"/>
      </w:pPr>
      <w:r>
        <w:rPr>
          <w:rStyle w:val="VerbatimChar"/>
        </w:rPr>
        <w:t xml:space="preserve">DY&lt;dy&gt;-&lt;doy&gt;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&lt;dy&gt;</w:t>
      </w:r>
      <w:r>
        <w:t xml:space="preserve"> </w:t>
      </w:r>
      <w:r>
        <w:t xml:space="preserve">is a signed integer year index,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&lt;doy&gt;</w:t>
      </w:r>
      <w:r>
        <w:t xml:space="preserve"> </w:t>
      </w:r>
      <w:r>
        <w:t xml:space="preserve">is a zero-padded three-digit day index (001–360).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rStyle w:val="VerbatimChar"/>
        </w:rPr>
        <w:t xml:space="preserve">DY6836-084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f2dbce19553039c4c6362448b7b8a31172dcb61"/>
    <w:p>
      <w:pPr>
        <w:pStyle w:val="Heading3"/>
      </w:pPr>
      <w:r>
        <w:t xml:space="preserve">6. Conversion Rules (Normative)</w:t>
      </w:r>
    </w:p>
    <w:bookmarkStart w:id="19" w:name="Xa1e070db52e757577115dc8cf765de43ce45c79"/>
    <w:p>
      <w:pPr>
        <w:pStyle w:val="Heading4"/>
      </w:pPr>
      <w:r>
        <w:t xml:space="preserve">6.1 Gregorian → Dikenocratic</w:t>
      </w:r>
    </w:p>
    <w:p>
      <w:pPr>
        <w:pStyle w:val="FirstParagraph"/>
      </w:pPr>
      <w:r>
        <w:t xml:space="preserve">Given a Gregorian civil date</w:t>
      </w:r>
      <w:r>
        <w:t xml:space="preserve"> </w:t>
      </w:r>
      <w:r>
        <w:rPr>
          <w:rStyle w:val="VerbatimChar"/>
        </w:rPr>
        <w:t xml:space="preserve">(year, month, day)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JDN</w:t>
      </w:r>
      <w:r>
        <w:t xml:space="preserve"> </w:t>
      </w:r>
      <w:r>
        <w:t xml:space="preserve">using a standard astronomical algorithm.</w:t>
      </w:r>
    </w:p>
    <w:p>
      <w:pPr>
        <w:pStyle w:val="Compact"/>
        <w:numPr>
          <w:ilvl w:val="0"/>
          <w:numId w:val="100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DTI-Day = JDN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(DY, DOY)</w:t>
      </w:r>
      <w:r>
        <w:t xml:space="preserve"> </w:t>
      </w:r>
      <w:r>
        <w:t xml:space="preserve">using Section 5.</w:t>
      </w:r>
    </w:p>
    <w:bookmarkEnd w:id="19"/>
    <w:bookmarkStart w:id="20" w:name="Xd8649461b4b939261926fe5e5b2ad791feb204c"/>
    <w:p>
      <w:pPr>
        <w:pStyle w:val="Heading4"/>
      </w:pPr>
      <w:r>
        <w:t xml:space="preserve">6.2 Dikenocratic → Gregorian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(DY, DOY)</w:t>
      </w:r>
      <w:r>
        <w:t xml:space="preserve">:</w:t>
      </w:r>
    </w:p>
    <w:p>
      <w:pPr>
        <w:numPr>
          <w:ilvl w:val="0"/>
          <w:numId w:val="1010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DOY ∈ [1, 360]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Compute: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DTI-Day = DY × 360 + (DOY − 1)</w:t>
      </w:r>
    </w:p>
    <w:p>
      <w:pPr>
        <w:numPr>
          <w:ilvl w:val="0"/>
          <w:numId w:val="1010"/>
        </w:numPr>
      </w:pPr>
      <w:r>
        <w:t xml:space="preserve">Convert</w:t>
      </w:r>
      <w:r>
        <w:t xml:space="preserve"> </w:t>
      </w:r>
      <w:r>
        <w:rPr>
          <w:rStyle w:val="VerbatimChar"/>
        </w:rPr>
        <w:t xml:space="preserve">DTI-Day (JDN)</w:t>
      </w:r>
      <w:r>
        <w:t xml:space="preserve"> </w:t>
      </w:r>
      <w:r>
        <w:t xml:space="preserve">to Gregorian</w:t>
      </w:r>
      <w:r>
        <w:t xml:space="preserve"> </w:t>
      </w:r>
      <w:r>
        <w:rPr>
          <w:rStyle w:val="VerbatimChar"/>
        </w:rPr>
        <w:t xml:space="preserve">(year, month, day)</w:t>
      </w:r>
      <w:r>
        <w:t xml:space="preserve">.</w:t>
      </w:r>
    </w:p>
    <w:bookmarkEnd w:id="20"/>
    <w:bookmarkStart w:id="21" w:name="X69aa7a14f820c92e829d681bc071f387df58234"/>
    <w:p>
      <w:pPr>
        <w:pStyle w:val="Heading4"/>
      </w:pPr>
      <w:r>
        <w:t xml:space="preserve">6.3 Validation</w:t>
      </w:r>
    </w:p>
    <w:p>
      <w:pPr>
        <w:pStyle w:val="Compact"/>
        <w:numPr>
          <w:ilvl w:val="0"/>
          <w:numId w:val="1011"/>
        </w:numPr>
      </w:pPr>
      <w:r>
        <w:t xml:space="preserve">Invalid</w:t>
      </w:r>
      <w:r>
        <w:t xml:space="preserve"> </w:t>
      </w:r>
      <w:r>
        <w:rPr>
          <w:rStyle w:val="VerbatimChar"/>
        </w:rPr>
        <w:t xml:space="preserve">DOY</w:t>
      </w:r>
      <w:r>
        <w:t xml:space="preserve"> </w:t>
      </w:r>
      <w:r>
        <w:t xml:space="preserve">values MUST be rejected.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DY</w:t>
      </w:r>
      <w:r>
        <w:t xml:space="preserve"> </w:t>
      </w:r>
      <w:r>
        <w:t xml:space="preserve">MAY be negative.</w:t>
      </w:r>
    </w:p>
    <w:p>
      <w:pPr>
        <w:pStyle w:val="Compact"/>
        <w:numPr>
          <w:ilvl w:val="0"/>
          <w:numId w:val="1011"/>
        </w:numPr>
      </w:pPr>
      <w:r>
        <w:t xml:space="preserve">Derived fields MUST NOT override</w:t>
      </w:r>
      <w:r>
        <w:t xml:space="preserve"> </w:t>
      </w:r>
      <w:r>
        <w:rPr>
          <w:rStyle w:val="VerbatimChar"/>
        </w:rPr>
        <w:t xml:space="preserve">DTI-Day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6a8f2664067fa79d3ea9e15350012173079e28"/>
    <w:p>
      <w:pPr>
        <w:pStyle w:val="Heading3"/>
      </w:pPr>
      <w:r>
        <w:t xml:space="preserve">7. Interoperability</w:t>
      </w:r>
    </w:p>
    <w:p>
      <w:pPr>
        <w:numPr>
          <w:ilvl w:val="0"/>
          <w:numId w:val="1012"/>
        </w:numPr>
      </w:pPr>
      <w:r>
        <w:t xml:space="preserve">Gregorian dates MAY be shown for human readability.</w:t>
      </w:r>
    </w:p>
    <w:p>
      <w:pPr>
        <w:numPr>
          <w:ilvl w:val="0"/>
          <w:numId w:val="1012"/>
        </w:numPr>
      </w:pPr>
      <w:r>
        <w:t xml:space="preserve">Any authoritative record MUST include: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DTI-Day</w:t>
      </w:r>
      <w:r>
        <w:t xml:space="preserve">, or</w:t>
      </w:r>
    </w:p>
    <w:p>
      <w:pPr>
        <w:pStyle w:val="Compact"/>
        <w:numPr>
          <w:ilvl w:val="1"/>
          <w:numId w:val="1013"/>
        </w:numPr>
      </w:pPr>
      <w:r>
        <w:t xml:space="preserve">canonical</w:t>
      </w:r>
      <w:r>
        <w:t xml:space="preserve"> </w:t>
      </w:r>
      <w:r>
        <w:rPr>
          <w:rStyle w:val="VerbatimChar"/>
        </w:rPr>
        <w:t xml:space="preserve">(DY, DOY)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In case of conflict,</w:t>
      </w:r>
      <w:r>
        <w:t xml:space="preserve"> </w:t>
      </w:r>
      <w:r>
        <w:rPr>
          <w:b/>
          <w:bCs/>
        </w:rPr>
        <w:t xml:space="preserve">DTI-Day is authoritative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de3ac113c701fbe1ea9d8e3702b9134c09aa341"/>
    <w:p>
      <w:pPr>
        <w:pStyle w:val="Heading3"/>
      </w:pPr>
      <w:r>
        <w:t xml:space="preserve">8. Storage, Signing, and Audit</w:t>
      </w:r>
    </w:p>
    <w:p>
      <w:pPr>
        <w:numPr>
          <w:ilvl w:val="0"/>
          <w:numId w:val="1014"/>
        </w:numPr>
      </w:pPr>
      <w:r>
        <w:t xml:space="preserve">Signed records SHOULD store: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DTI-Day</w:t>
      </w:r>
      <w:r>
        <w:t xml:space="preserve"> </w:t>
      </w:r>
      <w:r>
        <w:t xml:space="preserve">(authoritative),</w:t>
      </w:r>
    </w:p>
    <w:p>
      <w:pPr>
        <w:pStyle w:val="Compact"/>
        <w:numPr>
          <w:ilvl w:val="1"/>
          <w:numId w:val="1015"/>
        </w:numPr>
      </w:pPr>
      <w:r>
        <w:t xml:space="preserve">optionally</w:t>
      </w:r>
      <w:r>
        <w:t xml:space="preserve"> </w:t>
      </w:r>
      <w:r>
        <w:rPr>
          <w:rStyle w:val="VerbatimChar"/>
        </w:rPr>
        <w:t xml:space="preserve">(DY, DOY)</w:t>
      </w:r>
      <w:r>
        <w:t xml:space="preserve"> </w:t>
      </w:r>
      <w:r>
        <w:t xml:space="preserve">as derived fields.</w:t>
      </w:r>
    </w:p>
    <w:p>
      <w:pPr>
        <w:numPr>
          <w:ilvl w:val="0"/>
          <w:numId w:val="1014"/>
        </w:numPr>
      </w:pPr>
      <w:r>
        <w:t xml:space="preserve">Audits and dispute resolution MUST reference</w:t>
      </w:r>
      <w:r>
        <w:t xml:space="preserve"> </w:t>
      </w:r>
      <w:r>
        <w:rPr>
          <w:rStyle w:val="VerbatimChar"/>
        </w:rPr>
        <w:t xml:space="preserve">DTI-Day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43cf5d440ba039d79b9c45d4c51b4eb63ff5a5c"/>
    <w:p>
      <w:pPr>
        <w:pStyle w:val="Heading3"/>
      </w:pPr>
      <w:r>
        <w:t xml:space="preserve">9. Normative Test Vectors</w:t>
      </w:r>
    </w:p>
    <w:p>
      <w:pPr>
        <w:pStyle w:val="FirstParagraph"/>
      </w:pPr>
      <w:r>
        <w:t xml:space="preserve">Implementations MUST reproduce these values exactly.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Gregorian Date</w:t>
            </w:r>
          </w:p>
        </w:tc>
        <w:tc>
          <w:tcPr/>
          <w:p>
            <w:pPr>
              <w:pStyle w:val="Compact"/>
            </w:pPr>
            <w:r>
              <w:t xml:space="preserve">JDN (DTI-Day)</w:t>
            </w:r>
          </w:p>
        </w:tc>
        <w:tc>
          <w:tcPr/>
          <w:p>
            <w:pPr>
              <w:pStyle w:val="Compact"/>
            </w:pPr>
            <w:r>
              <w:t xml:space="preserve">DY</w:t>
            </w:r>
          </w:p>
        </w:tc>
        <w:tc>
          <w:tcPr/>
          <w:p>
            <w:pPr>
              <w:pStyle w:val="Compact"/>
            </w:pPr>
            <w:r>
              <w:t xml:space="preserve">DOY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2461042</w:t>
            </w:r>
          </w:p>
        </w:tc>
        <w:tc>
          <w:tcPr/>
          <w:p>
            <w:pPr>
              <w:pStyle w:val="Compact"/>
            </w:pPr>
            <w:r>
              <w:t xml:space="preserve">6836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DY6836-083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2026-01-02</w:t>
            </w:r>
          </w:p>
        </w:tc>
        <w:tc>
          <w:tcPr/>
          <w:p>
            <w:pPr>
              <w:pStyle w:val="Compact"/>
            </w:pPr>
            <w:r>
              <w:t xml:space="preserve">2461043</w:t>
            </w:r>
          </w:p>
        </w:tc>
        <w:tc>
          <w:tcPr/>
          <w:p>
            <w:pPr>
              <w:pStyle w:val="Compact"/>
            </w:pPr>
            <w:r>
              <w:t xml:space="preserve">6836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DY6836-084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1970-01-01</w:t>
            </w:r>
          </w:p>
        </w:tc>
        <w:tc>
          <w:tcPr/>
          <w:p>
            <w:pPr>
              <w:pStyle w:val="Compact"/>
            </w:pPr>
            <w:r>
              <w:t xml:space="preserve">2440588</w:t>
            </w:r>
          </w:p>
        </w:tc>
        <w:tc>
          <w:tcPr/>
          <w:p>
            <w:pPr>
              <w:pStyle w:val="Compact"/>
            </w:pPr>
            <w:r>
              <w:t xml:space="preserve">6779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DY6779-149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2000-01-01</w:t>
            </w:r>
          </w:p>
        </w:tc>
        <w:tc>
          <w:tcPr/>
          <w:p>
            <w:pPr>
              <w:pStyle w:val="Compact"/>
            </w:pPr>
            <w:r>
              <w:t xml:space="preserve">2451545</w:t>
            </w:r>
          </w:p>
        </w:tc>
        <w:tc>
          <w:tcPr/>
          <w:p>
            <w:pPr>
              <w:pStyle w:val="Compact"/>
            </w:pPr>
            <w:r>
              <w:t xml:space="preserve">6815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DY6815-026</w:t>
            </w:r>
          </w:p>
        </w:tc>
      </w:tr>
    </w:tbl>
    <w:p>
      <w:pPr>
        <w:pStyle w:val="BodyText"/>
      </w:pPr>
      <w:r>
        <w:t xml:space="preserve">Failure to match these vectors constitutes a protocol violation.</w:t>
      </w:r>
    </w:p>
    <w:p>
      <w:r>
        <w:pict>
          <v:rect style="width:0;height:1.5pt" o:hralign="center" o:hrstd="t" o:hr="t"/>
        </w:pict>
      </w:r>
    </w:p>
    <w:bookmarkEnd w:id="25"/>
    <w:bookmarkStart w:id="26" w:name="Xeda59dfc569cb71f8f0e56c346ab64c52630594"/>
    <w:p>
      <w:pPr>
        <w:pStyle w:val="Heading3"/>
      </w:pPr>
      <w:r>
        <w:t xml:space="preserve">10. Reference Implementation (Canonical)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CommentTok"/>
        </w:rPr>
        <w:t xml:space="preserve"># Gregorian &lt;-&gt; JDN (Fliegel–Van Flandern)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gregorian_to_jdn(year: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month)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day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32045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jdn_to_gregorian(jdn: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jdn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32044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146097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146097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1461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1461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</w:t>
      </w:r>
      <w:r>
        <w:br/>
      </w:r>
      <w:r>
        <w:rPr>
          <w:rStyle w:val="NormalTok"/>
        </w:rPr>
        <w:t xml:space="preserve">   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year, month, day</w:t>
      </w:r>
      <w:r>
        <w:br/>
      </w:r>
      <w:r>
        <w:br/>
      </w:r>
      <w:r>
        <w:rPr>
          <w:rStyle w:val="NormalTok"/>
        </w:rPr>
        <w:t xml:space="preserve">DTI_YEAR_LENGTH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DikenocraticDate:</w:t>
      </w:r>
      <w:r>
        <w:br/>
      </w:r>
      <w:r>
        <w:rPr>
          <w:rStyle w:val="NormalTok"/>
        </w:rPr>
        <w:t xml:space="preserve">    dy: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doy: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DTI_YEAR_LENGTH):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"DOY must be in 1..360"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canonical(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f"DY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doy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jdn_to_dikenocratic(jdn: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DikenocraticDate: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DikenocraticDate(jdn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(jdn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dikenocratic_to_jdn(dd: DikenocraticDate)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dd.dy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(dd.doy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gregorian_to_dikenocratic(y: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DikenocraticDate: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jdn_to_dikenocratic(gregorian_to_jdn(y, m, d))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dikenocratic_to_gregorian(dy: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doy: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jdn_to_gregorian(dikenocratic_to_jdn(DikenocraticDate(dy, doy)))</w:t>
      </w:r>
    </w:p>
    <w:p>
      <w:r>
        <w:pict>
          <v:rect style="width:0;height:1.5pt" o:hralign="center" o:hrstd="t" o:hr="t"/>
        </w:pict>
      </w:r>
    </w:p>
    <w:bookmarkEnd w:id="26"/>
    <w:bookmarkStart w:id="27" w:name="X77c17025f2d7ece9b9e3112f38f0135b4e91baf"/>
    <w:p>
      <w:pPr>
        <w:pStyle w:val="Heading3"/>
      </w:pPr>
      <w:r>
        <w:t xml:space="preserve">11. Rationale (Non-Normative)</w:t>
      </w:r>
    </w:p>
    <w:p>
      <w:pPr>
        <w:pStyle w:val="FirstParagraph"/>
      </w:pPr>
      <w:r>
        <w:t xml:space="preserve">Time in Dikenocracy is treated as an</w:t>
      </w:r>
      <w:r>
        <w:t xml:space="preserve"> </w:t>
      </w:r>
      <w:r>
        <w:rPr>
          <w:b/>
          <w:bCs/>
        </w:rPr>
        <w:t xml:space="preserve">operational index</w:t>
      </w:r>
      <w:r>
        <w:t xml:space="preserve">, not as a cultural narrative.</w:t>
      </w:r>
      <w:r>
        <w:t xml:space="preserve"> </w:t>
      </w:r>
      <w:r>
        <w:rPr>
          <w:rStyle w:val="VerbatimChar"/>
        </w:rPr>
        <w:t xml:space="preserve">DTI-Day</w:t>
      </w:r>
      <w:r>
        <w:t xml:space="preserve"> </w:t>
      </w:r>
      <w:r>
        <w:t xml:space="preserve">provides a continuous, neutral axis.</w:t>
      </w:r>
      <w:r>
        <w:t xml:space="preserve"> </w:t>
      </w:r>
      <w:r>
        <w:rPr>
          <w:rStyle w:val="VerbatimChar"/>
        </w:rPr>
        <w:t xml:space="preserve">DTI-Year</w:t>
      </w:r>
      <w:r>
        <w:t xml:space="preserve"> </w:t>
      </w:r>
      <w:r>
        <w:t xml:space="preserve">provides a stable governance cycle.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2026-10-04T10:23:45Z</dcterms:created>
  <dcterms:modified xsi:type="dcterms:W3CDTF">2026-10-04T10:23:45Z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