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dkp-1-identity-001"/>
    <w:p>
      <w:pPr>
        <w:pStyle w:val="Heading1"/>
      </w:pPr>
      <w:r>
        <w:t xml:space="preserve">DKP-1-IDENTITY-001</w:t>
      </w:r>
    </w:p>
    <w:p>
      <w:pPr>
        <w:pStyle w:val="FirstParagraph"/>
      </w:pPr>
      <w:r>
        <w:rPr>
          <w:i/>
          <w:iCs/>
        </w:rPr>
        <w:t xml:space="preserve">Last updated: 2026-10-04</w:t>
      </w:r>
    </w:p>
    <w:bookmarkStart w:id="9" w:name="identity--subject-protocol"/>
    <w:p>
      <w:pPr>
        <w:pStyle w:val="Heading3"/>
      </w:pPr>
      <w:r>
        <w:t xml:space="preserve">Identity &amp; Subject Protocol</w:t>
      </w:r>
    </w:p>
    <w:p>
      <w:r>
        <w:pict>
          <v:rect style="width:0;height:1.5pt" o:hralign="center" o:hrstd="t" o:hr="t"/>
        </w:pict>
      </w:r>
    </w:p>
    <w:bookmarkEnd w:id="9"/>
    <w:bookmarkStart w:id="10" w:name="Xe656c7b6450ec476f453091ff6f524ec7bd654f"/>
    <w:p>
      <w:pPr>
        <w:pStyle w:val="Heading3"/>
      </w:pPr>
      <w:r>
        <w:t xml:space="preserve">1. Purpose</w:t>
      </w:r>
    </w:p>
    <w:p>
      <w:pPr>
        <w:pStyle w:val="FirstParagraph"/>
      </w:pPr>
      <w:r>
        <w:t xml:space="preserve">The Identity &amp; Subject Protocol defines what constitutes a</w:t>
      </w:r>
      <w:r>
        <w:t xml:space="preserve"> </w:t>
      </w:r>
      <w:r>
        <w:rPr>
          <w:b/>
          <w:bCs/>
        </w:rPr>
        <w:t xml:space="preserve">Subject</w:t>
      </w:r>
      <w:r>
        <w:t xml:space="preserve"> </w:t>
      </w:r>
      <w:r>
        <w:t xml:space="preserve">within the Dikenocracy system and how actions, effects, and responsibility are causally bound to that Subject across time, delegation layers, and system boundaries.</w:t>
      </w:r>
    </w:p>
    <w:p>
      <w:pPr>
        <w:pStyle w:val="BodyText"/>
      </w:pPr>
      <w:r>
        <w:t xml:space="preserve">This protocol establishes</w:t>
      </w:r>
      <w:r>
        <w:t xml:space="preserve"> </w:t>
      </w:r>
      <w:r>
        <w:rPr>
          <w:b/>
          <w:bCs/>
        </w:rPr>
        <w:t xml:space="preserve">attribution</w:t>
      </w:r>
      <w:r>
        <w:t xml:space="preserve">, not punishment. It performs</w:t>
      </w:r>
      <w:r>
        <w:t xml:space="preserve"> </w:t>
      </w:r>
      <w:r>
        <w:rPr>
          <w:b/>
          <w:bCs/>
        </w:rPr>
        <w:t xml:space="preserve">identity binding and responsibility linkage only</w:t>
      </w:r>
      <w:r>
        <w:t xml:space="preserve">.</w:t>
      </w:r>
    </w:p>
    <w:p>
      <w:pPr>
        <w:pStyle w:val="BodyText"/>
      </w:pPr>
      <w:r>
        <w:t xml:space="preserve">This protocol does</w:t>
      </w:r>
      <w:r>
        <w:t xml:space="preserve"> </w:t>
      </w:r>
      <w:r>
        <w:rPr>
          <w:b/>
          <w:bCs/>
        </w:rPr>
        <w:t xml:space="preserve">not</w:t>
      </w:r>
      <w:r>
        <w:t xml:space="preserve">:</w:t>
      </w:r>
    </w:p>
    <w:p>
      <w:pPr>
        <w:pStyle w:val="Compact"/>
        <w:numPr>
          <w:ilvl w:val="0"/>
          <w:numId w:val="1001"/>
        </w:numPr>
      </w:pPr>
      <w:r>
        <w:t xml:space="preserve">measure impact magnitude,</w:t>
      </w:r>
    </w:p>
    <w:p>
      <w:pPr>
        <w:pStyle w:val="Compact"/>
        <w:numPr>
          <w:ilvl w:val="0"/>
          <w:numId w:val="1001"/>
        </w:numPr>
      </w:pPr>
      <w:r>
        <w:t xml:space="preserve">calculate justice,</w:t>
      </w:r>
    </w:p>
    <w:p>
      <w:pPr>
        <w:pStyle w:val="Compact"/>
        <w:numPr>
          <w:ilvl w:val="0"/>
          <w:numId w:val="1001"/>
        </w:numPr>
      </w:pPr>
      <w:r>
        <w:t xml:space="preserve">assign sanctions or compensation,</w:t>
      </w:r>
    </w:p>
    <w:p>
      <w:pPr>
        <w:pStyle w:val="Compact"/>
        <w:numPr>
          <w:ilvl w:val="0"/>
          <w:numId w:val="1001"/>
        </w:numPr>
      </w:pPr>
      <w:r>
        <w:t xml:space="preserve">interpret intent, motive, or moral value.</w:t>
      </w:r>
    </w:p>
    <w:p>
      <w:r>
        <w:pict>
          <v:rect style="width:0;height:1.5pt" o:hralign="center" o:hrstd="t" o:hr="t"/>
        </w:pict>
      </w:r>
    </w:p>
    <w:bookmarkEnd w:id="10"/>
    <w:bookmarkStart w:id="11" w:name="Xa3317ba21fa978274b1e9d4e4eff2aa3d4f65fa"/>
    <w:p>
      <w:pPr>
        <w:pStyle w:val="Heading3"/>
      </w:pPr>
      <w:r>
        <w:t xml:space="preserve">2. System Position</w:t>
      </w:r>
    </w:p>
    <w:p>
      <w:pPr>
        <w:pStyle w:val="FirstParagraph"/>
      </w:pPr>
      <w:r>
        <w:t xml:space="preserve">This protocol operates:</w:t>
      </w:r>
    </w:p>
    <w:p>
      <w:pPr>
        <w:pStyle w:val="Compact"/>
        <w:numPr>
          <w:ilvl w:val="0"/>
          <w:numId w:val="1002"/>
        </w:numPr>
      </w:pPr>
      <w:r>
        <w:t xml:space="preserve">above DKP-0-ORACLE-001 (Physical Truth Layer),</w:t>
      </w:r>
    </w:p>
    <w:p>
      <w:pPr>
        <w:pStyle w:val="Compact"/>
        <w:numPr>
          <w:ilvl w:val="0"/>
          <w:numId w:val="1002"/>
        </w:numPr>
      </w:pPr>
      <w:r>
        <w:t xml:space="preserve">alongside DKP-1-IMPACT-001 (Impact Measurement Protocol),</w:t>
      </w:r>
    </w:p>
    <w:p>
      <w:pPr>
        <w:pStyle w:val="Compact"/>
        <w:numPr>
          <w:ilvl w:val="0"/>
          <w:numId w:val="1002"/>
        </w:numPr>
      </w:pPr>
      <w:r>
        <w:t xml:space="preserve">below DKP-1-JUSTICE-001 (Justice Function Protocol),</w:t>
      </w:r>
    </w:p>
    <w:p>
      <w:pPr>
        <w:pStyle w:val="Compact"/>
        <w:numPr>
          <w:ilvl w:val="0"/>
          <w:numId w:val="1002"/>
        </w:numPr>
      </w:pPr>
      <w:r>
        <w:t xml:space="preserve">prior to all economic, governance, security, and enforcement protocols.</w:t>
      </w:r>
    </w:p>
    <w:p>
      <w:pPr>
        <w:pStyle w:val="FirstParagraph"/>
      </w:pPr>
      <w:r>
        <w:t xml:space="preserve">All attribution performed by this protocol MUST rely exclusively on outputs produced by DKP-1-IMPACT-001.</w:t>
      </w:r>
    </w:p>
    <w:p>
      <w:r>
        <w:pict>
          <v:rect style="width:0;height:1.5pt" o:hralign="center" o:hrstd="t" o:hr="t"/>
        </w:pict>
      </w:r>
    </w:p>
    <w:bookmarkEnd w:id="11"/>
    <w:bookmarkStart w:id="15" w:name="X181837d14a0515875e67aea3e7a6eb6033519d9"/>
    <w:p>
      <w:pPr>
        <w:pStyle w:val="Heading3"/>
      </w:pPr>
      <w:r>
        <w:t xml:space="preserve">3. Core Definitions</w:t>
      </w:r>
    </w:p>
    <w:bookmarkStart w:id="12" w:name="X8f3e90bc18b889d0994f7e92913f2fcecf0b997"/>
    <w:p>
      <w:pPr>
        <w:pStyle w:val="Heading4"/>
      </w:pPr>
      <w:r>
        <w:t xml:space="preserve">3.1 Subject</w:t>
      </w:r>
    </w:p>
    <w:p>
      <w:pPr>
        <w:pStyle w:val="FirstParagraph"/>
      </w:pPr>
      <w:r>
        <w:t xml:space="preserve">A</w:t>
      </w:r>
      <w:r>
        <w:t xml:space="preserve"> </w:t>
      </w:r>
      <w:r>
        <w:rPr>
          <w:b/>
          <w:bCs/>
        </w:rPr>
        <w:t xml:space="preserve">Subject</w:t>
      </w:r>
      <w:r>
        <w:t xml:space="preserve"> </w:t>
      </w:r>
      <w:r>
        <w:t xml:space="preserve">is any entity capable of initiating, amplifying, sustaining, or failing to prevent a state transition that is measurable under DKP-1-IMPACT-001.</w:t>
      </w:r>
    </w:p>
    <w:p>
      <w:pPr>
        <w:pStyle w:val="BodyText"/>
      </w:pPr>
      <w:r>
        <w:t xml:space="preserve">Subjects include, but are not limited to:</w:t>
      </w:r>
    </w:p>
    <w:p>
      <w:pPr>
        <w:pStyle w:val="Compact"/>
        <w:numPr>
          <w:ilvl w:val="0"/>
          <w:numId w:val="1003"/>
        </w:numPr>
      </w:pPr>
      <w:r>
        <w:t xml:space="preserve">individual humans,</w:t>
      </w:r>
    </w:p>
    <w:p>
      <w:pPr>
        <w:pStyle w:val="Compact"/>
        <w:numPr>
          <w:ilvl w:val="0"/>
          <w:numId w:val="1003"/>
        </w:numPr>
      </w:pPr>
      <w:r>
        <w:t xml:space="preserve">legal entities,</w:t>
      </w:r>
    </w:p>
    <w:p>
      <w:pPr>
        <w:pStyle w:val="Compact"/>
        <w:numPr>
          <w:ilvl w:val="0"/>
          <w:numId w:val="1003"/>
        </w:numPr>
      </w:pPr>
      <w:r>
        <w:t xml:space="preserve">collective groups,</w:t>
      </w:r>
    </w:p>
    <w:p>
      <w:pPr>
        <w:pStyle w:val="Compact"/>
        <w:numPr>
          <w:ilvl w:val="0"/>
          <w:numId w:val="1003"/>
        </w:numPr>
      </w:pPr>
      <w:r>
        <w:t xml:space="preserve">decentralized organizations (e.g., DAOs),</w:t>
      </w:r>
    </w:p>
    <w:p>
      <w:pPr>
        <w:pStyle w:val="Compact"/>
        <w:numPr>
          <w:ilvl w:val="0"/>
          <w:numId w:val="1003"/>
        </w:numPr>
      </w:pPr>
      <w:r>
        <w:t xml:space="preserve">automated or algorithmic systems,</w:t>
      </w:r>
    </w:p>
    <w:p>
      <w:pPr>
        <w:pStyle w:val="Compact"/>
        <w:numPr>
          <w:ilvl w:val="0"/>
          <w:numId w:val="1003"/>
        </w:numPr>
      </w:pPr>
      <w:r>
        <w:t xml:space="preserve">artificial intelligences,</w:t>
      </w:r>
    </w:p>
    <w:p>
      <w:pPr>
        <w:pStyle w:val="Compact"/>
        <w:numPr>
          <w:ilvl w:val="0"/>
          <w:numId w:val="1003"/>
        </w:numPr>
      </w:pPr>
      <w:r>
        <w:t xml:space="preserve">hybrid human–machine assemblies.</w:t>
      </w:r>
    </w:p>
    <w:p>
      <w:pPr>
        <w:pStyle w:val="FirstParagraph"/>
      </w:pPr>
      <w:r>
        <w:t xml:space="preserve">Subject status is</w:t>
      </w:r>
      <w:r>
        <w:t xml:space="preserve"> </w:t>
      </w:r>
      <w:r>
        <w:rPr>
          <w:b/>
          <w:bCs/>
        </w:rPr>
        <w:t xml:space="preserve">functional</w:t>
      </w:r>
      <w:r>
        <w:t xml:space="preserve">, not moral or legal.</w:t>
      </w:r>
    </w:p>
    <w:p>
      <w:r>
        <w:pict>
          <v:rect style="width:0;height:1.5pt" o:hralign="center" o:hrstd="t" o:hr="t"/>
        </w:pict>
      </w:r>
    </w:p>
    <w:bookmarkEnd w:id="12"/>
    <w:bookmarkStart w:id="13" w:name="X53c96dbbd45ece6aa763f8f932bde946625b855"/>
    <w:p>
      <w:pPr>
        <w:pStyle w:val="Heading4"/>
      </w:pPr>
      <w:r>
        <w:t xml:space="preserve">3.2 Action</w:t>
      </w:r>
    </w:p>
    <w:p>
      <w:pPr>
        <w:pStyle w:val="FirstParagraph"/>
      </w:pPr>
      <w:r>
        <w:t xml:space="preserve">An</w:t>
      </w:r>
      <w:r>
        <w:t xml:space="preserve"> </w:t>
      </w:r>
      <w:r>
        <w:rPr>
          <w:b/>
          <w:bCs/>
        </w:rPr>
        <w:t xml:space="preserve">Action</w:t>
      </w:r>
      <w:r>
        <w:t xml:space="preserve"> </w:t>
      </w:r>
      <w:r>
        <w:t xml:space="preserve">is any intervention, omission, or sustained process attributable to a Subject that produces a measurable change in the Physical State Vector S(t).</w:t>
      </w:r>
    </w:p>
    <w:p>
      <w:pPr>
        <w:pStyle w:val="BodyText"/>
      </w:pPr>
      <w:r>
        <w:t xml:space="preserve">Failure to act SHALL be treated as an Action when omission contributes causally to measurable impact.</w:t>
      </w:r>
    </w:p>
    <w:p>
      <w:r>
        <w:pict>
          <v:rect style="width:0;height:1.5pt" o:hralign="center" o:hrstd="t" o:hr="t"/>
        </w:pict>
      </w:r>
    </w:p>
    <w:bookmarkEnd w:id="13"/>
    <w:bookmarkStart w:id="14" w:name="X5d60fd042776dfacac93586718fdc058727244b"/>
    <w:p>
      <w:pPr>
        <w:pStyle w:val="Heading4"/>
      </w:pPr>
      <w:r>
        <w:t xml:space="preserve">3.3 Responsibility</w:t>
      </w:r>
    </w:p>
    <w:p>
      <w:pPr>
        <w:pStyle w:val="FirstParagraph"/>
      </w:pPr>
      <w:r>
        <w:rPr>
          <w:b/>
          <w:bCs/>
        </w:rPr>
        <w:t xml:space="preserve">Responsibility</w:t>
      </w:r>
      <w:r>
        <w:t xml:space="preserve"> </w:t>
      </w:r>
      <w:r>
        <w:t xml:space="preserve">is the persistence of causal linkage between a Subject and measurable impacts arising from its actions or omissions, independent of intent, awareness, foresight, or justification.</w:t>
      </w:r>
    </w:p>
    <w:p>
      <w:r>
        <w:pict>
          <v:rect style="width:0;height:1.5pt" o:hralign="center" o:hrstd="t" o:hr="t"/>
        </w:pict>
      </w:r>
    </w:p>
    <w:bookmarkEnd w:id="14"/>
    <w:bookmarkEnd w:id="15"/>
    <w:bookmarkStart w:id="17" w:name="X2073f9441a7345de5e1ada0ba916c7f4c0fc288"/>
    <w:p>
      <w:pPr>
        <w:pStyle w:val="Heading3"/>
      </w:pPr>
      <w:r>
        <w:t xml:space="preserve">4. Identity Binding Invariant</w:t>
      </w:r>
    </w:p>
    <w:p>
      <w:pPr>
        <w:pStyle w:val="FirstParagraph"/>
      </w:pPr>
      <w:r>
        <w:t xml:space="preserve">For every detected impact vector Iᵢ produced by DKP-1-IMPACT-001:</w:t>
      </w:r>
    </w:p>
    <w:p>
      <w:pPr>
        <w:pStyle w:val="Compact"/>
        <w:numPr>
          <w:ilvl w:val="0"/>
          <w:numId w:val="1004"/>
        </w:numPr>
      </w:pPr>
      <w:r>
        <w:t xml:space="preserve">at least one Subject SHALL be causally attributable,</w:t>
      </w:r>
    </w:p>
    <w:p>
      <w:pPr>
        <w:pStyle w:val="Compact"/>
        <w:numPr>
          <w:ilvl w:val="0"/>
          <w:numId w:val="1004"/>
        </w:numPr>
      </w:pPr>
      <w:r>
        <w:t xml:space="preserve">attribution MUST be traceable through an auditable causal chain,</w:t>
      </w:r>
    </w:p>
    <w:p>
      <w:pPr>
        <w:pStyle w:val="Compact"/>
        <w:numPr>
          <w:ilvl w:val="0"/>
          <w:numId w:val="1004"/>
        </w:numPr>
      </w:pPr>
      <w:r>
        <w:t xml:space="preserve">absence of intent, prediction, or awareness SHALL NOT invalidate attribution.</w:t>
      </w:r>
    </w:p>
    <w:p>
      <w:pPr>
        <w:pStyle w:val="FirstParagraph"/>
      </w:pPr>
      <w:r>
        <w:t xml:space="preserve">Unattributed or untraceable impacts constitute a critical system violation.</w:t>
      </w:r>
    </w:p>
    <w:bookmarkStart w:id="16" w:name="Xfed02a98782c9dd405a2d6d012ea68a9faf5747"/>
    <w:p>
      <w:pPr>
        <w:pStyle w:val="Heading4"/>
      </w:pPr>
      <w:r>
        <w:t xml:space="preserve">4.1 Minimum Attribution Confidence</w:t>
      </w:r>
    </w:p>
    <w:p>
      <w:pPr>
        <w:pStyle w:val="FirstParagraph"/>
      </w:pPr>
      <w:r>
        <w:t xml:space="preserve">Attribution outputs are subject to minimum confidence requirements:</w:t>
      </w:r>
    </w:p>
    <w:p>
      <w:pPr>
        <w:pStyle w:val="BodyText"/>
      </w:pPr>
      <w:r>
        <w:t xml:space="preserve">a)</w:t>
      </w:r>
      <w:r>
        <w:t xml:space="preserve"> </w:t>
      </w:r>
      <w:r>
        <w:rPr>
          <w:b/>
          <w:bCs/>
        </w:rPr>
        <w:t xml:space="preserve">NO_ATTRIBUTION State</w:t>
      </w:r>
    </w:p>
    <w:p>
      <w:pPr>
        <w:pStyle w:val="BodyText"/>
      </w:pPr>
      <w:r>
        <w:t xml:space="preserve">Where attribution confidence falls below minimum admissibility threshold (as defined by DKP-8-SIMULATION-001 calibration), the protocol SHALL produce:</w:t>
      </w:r>
    </w:p>
    <w:p>
      <w:pPr>
        <w:pStyle w:val="Compact"/>
        <w:numPr>
          <w:ilvl w:val="0"/>
          <w:numId w:val="1005"/>
        </w:numPr>
      </w:pPr>
      <w:r>
        <w:t xml:space="preserve">NO_ATTRIBUTION</w:t>
      </w:r>
    </w:p>
    <w:p>
      <w:pPr>
        <w:pStyle w:val="Compact"/>
        <w:numPr>
          <w:ilvl w:val="0"/>
          <w:numId w:val="1005"/>
        </w:numPr>
      </w:pPr>
      <w:r>
        <w:t xml:space="preserve">confidence_state: INSUFFICIENT_DATA</w:t>
      </w:r>
    </w:p>
    <w:p>
      <w:pPr>
        <w:pStyle w:val="Compact"/>
        <w:numPr>
          <w:ilvl w:val="0"/>
          <w:numId w:val="1005"/>
        </w:numPr>
      </w:pPr>
      <w:r>
        <w:t xml:space="preserve">reason: [specific confidence failure]</w:t>
      </w:r>
    </w:p>
    <w:p>
      <w:pPr>
        <w:pStyle w:val="FirstParagraph"/>
      </w:pPr>
      <w:r>
        <w:t xml:space="preserve">rather than forcing degraded attribution.</w:t>
      </w:r>
    </w:p>
    <w:p>
      <w:pPr>
        <w:pStyle w:val="BodyText"/>
      </w:pPr>
      <w:r>
        <w:t xml:space="preserve">b)</w:t>
      </w:r>
      <w:r>
        <w:t xml:space="preserve"> </w:t>
      </w:r>
      <w:r>
        <w:rPr>
          <w:b/>
          <w:bCs/>
        </w:rPr>
        <w:t xml:space="preserve">Non-Enforcement Cascade</w:t>
      </w:r>
    </w:p>
    <w:p>
      <w:pPr>
        <w:pStyle w:val="BodyText"/>
      </w:pPr>
      <w:r>
        <w:t xml:space="preserve">NO_ATTRIBUTION events SHALL NOT trigger enforcement cascades in downstream protocols.</w:t>
      </w:r>
    </w:p>
    <w:p>
      <w:pPr>
        <w:pStyle w:val="BodyText"/>
      </w:pPr>
      <w:r>
        <w:t xml:space="preserve">Systems receiving NO_ATTRIBUTION SHALL:</w:t>
      </w:r>
    </w:p>
    <w:p>
      <w:pPr>
        <w:pStyle w:val="Compact"/>
        <w:numPr>
          <w:ilvl w:val="0"/>
          <w:numId w:val="1006"/>
        </w:numPr>
      </w:pPr>
      <w:r>
        <w:t xml:space="preserve">Log the event for L8 audit</w:t>
      </w:r>
    </w:p>
    <w:p>
      <w:pPr>
        <w:pStyle w:val="Compact"/>
        <w:numPr>
          <w:ilvl w:val="0"/>
          <w:numId w:val="1006"/>
        </w:numPr>
      </w:pPr>
      <w:r>
        <w:t xml:space="preserve">Defer enforcement pending attribution resolution</w:t>
      </w:r>
    </w:p>
    <w:p>
      <w:pPr>
        <w:pStyle w:val="Compact"/>
        <w:numPr>
          <w:ilvl w:val="0"/>
          <w:numId w:val="1006"/>
        </w:numPr>
      </w:pPr>
      <w:r>
        <w:t xml:space="preserve">NOT impute attribution from circumstantial factors</w:t>
      </w:r>
    </w:p>
    <w:p>
      <w:pPr>
        <w:pStyle w:val="FirstParagraph"/>
      </w:pPr>
      <w:r>
        <w:t xml:space="preserve">c)</w:t>
      </w:r>
      <w:r>
        <w:t xml:space="preserve"> </w:t>
      </w:r>
      <w:r>
        <w:rPr>
          <w:b/>
          <w:bCs/>
        </w:rPr>
        <w:t xml:space="preserve">Investigation Trigger</w:t>
      </w:r>
    </w:p>
    <w:p>
      <w:pPr>
        <w:pStyle w:val="BodyText"/>
      </w:pPr>
      <w:r>
        <w:t xml:space="preserve">NO_ATTRIBUTION for significant impact events SHALL trigger elevated investigation priority under DKP-8-AUDIT-001 without pre-determining attribution outcome.</w:t>
      </w:r>
    </w:p>
    <w:p>
      <w:pPr>
        <w:pStyle w:val="BodyText"/>
      </w:pPr>
      <w:r>
        <w:t xml:space="preserve">d)</w:t>
      </w:r>
      <w:r>
        <w:t xml:space="preserve"> </w:t>
      </w:r>
      <w:r>
        <w:rPr>
          <w:b/>
          <w:bCs/>
        </w:rPr>
        <w:t xml:space="preserve">Preferred Over Degraded Attribution</w:t>
      </w:r>
    </w:p>
    <w:p>
      <w:pPr>
        <w:pStyle w:val="BodyText"/>
      </w:pPr>
      <w:r>
        <w:t xml:space="preserve">In accordance with DKP-1-EPISTEMIC-BOUNDARIES-001 Section 10 (No-Output Priority Rule), NO_ATTRIBUTION is preferred over attribution with confidence_state: DEGRADED_SIGNAL when applicability boundary is violated.</w:t>
      </w:r>
    </w:p>
    <w:p>
      <w:pPr>
        <w:pStyle w:val="BodyText"/>
      </w:pPr>
      <w:r>
        <w:t xml:space="preserve">This clause prevents the "critical system violation" characterization in Section 4 from overriding epistemic boundary requirements.</w:t>
      </w:r>
    </w:p>
    <w:p>
      <w:r>
        <w:pict>
          <v:rect style="width:0;height:1.5pt" o:hralign="center" o:hrstd="t" o:hr="t"/>
        </w:pict>
      </w:r>
    </w:p>
    <w:bookmarkEnd w:id="16"/>
    <w:bookmarkEnd w:id="17"/>
    <w:bookmarkStart w:id="18" w:name="X7a0f620ebba31cf485c215cd1e93dee69ae3f25"/>
    <w:p>
      <w:pPr>
        <w:pStyle w:val="Heading3"/>
      </w:pPr>
      <w:r>
        <w:t xml:space="preserve">5. Delegation and Automation</w:t>
      </w:r>
    </w:p>
    <w:p>
      <w:pPr>
        <w:pStyle w:val="FirstParagraph"/>
      </w:pPr>
      <w:r>
        <w:t xml:space="preserve">Delegation transfers</w:t>
      </w:r>
      <w:r>
        <w:t xml:space="preserve"> </w:t>
      </w:r>
      <w:r>
        <w:rPr>
          <w:b/>
          <w:bCs/>
        </w:rPr>
        <w:t xml:space="preserve">execution</w:t>
      </w:r>
      <w:r>
        <w:t xml:space="preserve">, not responsibility.</w:t>
      </w:r>
    </w:p>
    <w:p>
      <w:pPr>
        <w:pStyle w:val="BodyText"/>
      </w:pPr>
      <w:r>
        <w:t xml:space="preserve">Where a Subject:</w:t>
      </w:r>
    </w:p>
    <w:p>
      <w:pPr>
        <w:pStyle w:val="Compact"/>
        <w:numPr>
          <w:ilvl w:val="0"/>
          <w:numId w:val="1007"/>
        </w:numPr>
      </w:pPr>
      <w:r>
        <w:t xml:space="preserve">delegates action to another Subject,</w:t>
      </w:r>
    </w:p>
    <w:p>
      <w:pPr>
        <w:pStyle w:val="Compact"/>
        <w:numPr>
          <w:ilvl w:val="0"/>
          <w:numId w:val="1007"/>
        </w:numPr>
      </w:pPr>
      <w:r>
        <w:t xml:space="preserve">deploys automated or algorithmic systems,</w:t>
      </w:r>
    </w:p>
    <w:p>
      <w:pPr>
        <w:pStyle w:val="Compact"/>
        <w:numPr>
          <w:ilvl w:val="0"/>
          <w:numId w:val="1007"/>
        </w:numPr>
      </w:pPr>
      <w:r>
        <w:t xml:space="preserve">operates through intermediaries, platforms, or agents,</w:t>
      </w:r>
    </w:p>
    <w:p>
      <w:pPr>
        <w:pStyle w:val="FirstParagraph"/>
      </w:pPr>
      <w:r>
        <w:t xml:space="preserve">the originating Subject SHALL retain causal responsibility unless an explicit, auditable counter-binding is recorded and validated.</w:t>
      </w:r>
    </w:p>
    <w:p>
      <w:pPr>
        <w:pStyle w:val="BodyText"/>
      </w:pPr>
      <w:r>
        <w:t xml:space="preserve">Artificial intelligences and automated systems SHALL be treated as Subjects for attribution purposes but SHALL NOT acquire exemption, immunity, or sovereignty.</w:t>
      </w:r>
    </w:p>
    <w:p>
      <w:pPr>
        <w:pStyle w:val="BodyText"/>
      </w:pPr>
      <w:r>
        <w:t xml:space="preserve">Smart contracts, autonomous agents, scripts, and algorithmic execution mechanisms SHALL NOT be considered independent Subjects under any circumstances.</w:t>
      </w:r>
    </w:p>
    <w:p>
      <w:pPr>
        <w:pStyle w:val="BodyText"/>
      </w:pPr>
      <w:r>
        <w:t xml:space="preserve">Such mechanisms operate exclusively as proxy-subjects, executing delegated intent or predefined logic on behalf of an originating Subject.</w:t>
      </w:r>
    </w:p>
    <w:p>
      <w:pPr>
        <w:pStyle w:val="BodyText"/>
      </w:pPr>
      <w:r>
        <w:t xml:space="preserve">All actions performed by smart contracts or automated agents SHALL be causally and legally attributed to the originating Subject(s) who deployed, authorized, funded, or materially benefited from their execution, unless an explicit, auditable counter-binding assigns responsibility to another identifiable Subject.</w:t>
      </w:r>
    </w:p>
    <w:p>
      <w:r>
        <w:pict>
          <v:rect style="width:0;height:1.5pt" o:hralign="center" o:hrstd="t" o:hr="t"/>
        </w:pict>
      </w:r>
    </w:p>
    <w:bookmarkEnd w:id="18"/>
    <w:bookmarkStart w:id="19" w:name="X4da21046f0e2e40726c606e20fa6144a5a48409"/>
    <w:p>
      <w:pPr>
        <w:pStyle w:val="Heading3"/>
      </w:pPr>
      <w:r>
        <w:t xml:space="preserve">6. Collective and Distributed Subjects</w:t>
      </w:r>
    </w:p>
    <w:p>
      <w:pPr>
        <w:pStyle w:val="FirstParagraph"/>
      </w:pPr>
      <w:r>
        <w:t xml:space="preserve">Where actions arise from coordinated, collective, or emergent behavior:</w:t>
      </w:r>
    </w:p>
    <w:p>
      <w:pPr>
        <w:pStyle w:val="Compact"/>
        <w:numPr>
          <w:ilvl w:val="0"/>
          <w:numId w:val="1008"/>
        </w:numPr>
      </w:pPr>
      <w:r>
        <w:t xml:space="preserve">responsibility MAY be distributed across multiple Subjects,</w:t>
      </w:r>
    </w:p>
    <w:p>
      <w:pPr>
        <w:pStyle w:val="Compact"/>
        <w:numPr>
          <w:ilvl w:val="0"/>
          <w:numId w:val="1008"/>
        </w:numPr>
      </w:pPr>
      <w:r>
        <w:t xml:space="preserve">distribution SHALL be proportional to measurable causal contribution,</w:t>
      </w:r>
    </w:p>
    <w:p>
      <w:pPr>
        <w:pStyle w:val="Compact"/>
        <w:numPr>
          <w:ilvl w:val="0"/>
          <w:numId w:val="1008"/>
        </w:numPr>
      </w:pPr>
      <w:r>
        <w:t xml:space="preserve">collective attribution SHALL NOT erase individual responsibility.</w:t>
      </w:r>
    </w:p>
    <w:p>
      <w:pPr>
        <w:pStyle w:val="FirstParagraph"/>
      </w:pPr>
      <w:r>
        <w:t xml:space="preserve">Temporary coalitions, swarms, and decentralized collectives constitute valid Subjects for the duration of their active coordination.</w:t>
      </w:r>
    </w:p>
    <w:p>
      <w:r>
        <w:pict>
          <v:rect style="width:0;height:1.5pt" o:hralign="center" o:hrstd="t" o:hr="t"/>
        </w:pict>
      </w:r>
    </w:p>
    <w:bookmarkEnd w:id="19"/>
    <w:bookmarkStart w:id="20" w:name="Xf463e31e87cd3778d729f1041a2af6685257da6"/>
    <w:p>
      <w:pPr>
        <w:pStyle w:val="Heading3"/>
      </w:pPr>
      <w:r>
        <w:t xml:space="preserve">7. Temporal Persistence of Identity</w:t>
      </w:r>
    </w:p>
    <w:p>
      <w:pPr>
        <w:pStyle w:val="FirstParagraph"/>
      </w:pPr>
      <w:r>
        <w:t xml:space="preserve">Responsibility SHALL persist across time as long as at least one of the following holds:</w:t>
      </w:r>
    </w:p>
    <w:p>
      <w:pPr>
        <w:pStyle w:val="BodyText"/>
      </w:pPr>
      <w:r>
        <w:t xml:space="preserve">a) downstream impacts remain measurable, b) the Subject continues to benefit from the originating action, c) the Subject retains the capacity to mitigate, reverse, or limit further harm.</w:t>
      </w:r>
    </w:p>
    <w:p>
      <w:pPr>
        <w:pStyle w:val="BodyText"/>
      </w:pPr>
      <w:r>
        <w:t xml:space="preserve">Termination, dissolution, or transformation of a Subject SHALL NOT invalidate historical attribution.</w:t>
      </w:r>
    </w:p>
    <w:p>
      <w:r>
        <w:pict>
          <v:rect style="width:0;height:1.5pt" o:hralign="center" o:hrstd="t" o:hr="t"/>
        </w:pict>
      </w:r>
    </w:p>
    <w:bookmarkEnd w:id="20"/>
    <w:bookmarkStart w:id="21" w:name="X3f18d7d832915438249c9278fc59ca9a850850d"/>
    <w:p>
      <w:pPr>
        <w:pStyle w:val="Heading3"/>
      </w:pPr>
      <w:r>
        <w:t xml:space="preserve">8. Cascading Impact Attribution</w:t>
      </w:r>
    </w:p>
    <w:p>
      <w:pPr>
        <w:pStyle w:val="FirstParagraph"/>
      </w:pPr>
      <w:r>
        <w:t xml:space="preserve">A Subject SHALL be considered causally responsible not only for direct first-order impacts, but also for downstream impacts when all of the following conditions are satisfied:</w:t>
      </w:r>
    </w:p>
    <w:p>
      <w:pPr>
        <w:pStyle w:val="BodyText"/>
      </w:pPr>
      <w:r>
        <w:t xml:space="preserve">a) the downstream impact is causally linked through a traceable chain of state transitions measured under DKP-1-IMPACT-001, b) the impact occurs within a declared or logically inferred impact horizon Δt, c) the impact exceeds or materially contributes to at least one axiom-defined reference bound Bᵢ.</w:t>
      </w:r>
    </w:p>
    <w:p>
      <w:pPr>
        <w:pStyle w:val="BodyText"/>
      </w:pPr>
      <w:r>
        <w:t xml:space="preserve">Lack of foresight, predictability, or statistical expectation SHALL NOT negate responsibility.</w:t>
      </w:r>
    </w:p>
    <w:p>
      <w:r>
        <w:pict>
          <v:rect style="width:0;height:1.5pt" o:hralign="center" o:hrstd="t" o:hr="t"/>
        </w:pict>
      </w:r>
    </w:p>
    <w:bookmarkEnd w:id="21"/>
    <w:bookmarkStart w:id="22" w:name="Xe4e8e64620cae4cd3846e8f1023a5247ee4c7b1"/>
    <w:p>
      <w:pPr>
        <w:pStyle w:val="Heading3"/>
      </w:pPr>
      <w:r>
        <w:t xml:space="preserve">9. Nonlinear Cascade Events</w:t>
      </w:r>
    </w:p>
    <w:p>
      <w:pPr>
        <w:pStyle w:val="FirstParagraph"/>
      </w:pPr>
      <w:r>
        <w:t xml:space="preserve">A</w:t>
      </w:r>
      <w:r>
        <w:t xml:space="preserve"> </w:t>
      </w:r>
      <w:r>
        <w:rPr>
          <w:b/>
          <w:bCs/>
        </w:rPr>
        <w:t xml:space="preserve">Nonlinear Cascade Event</w:t>
      </w:r>
      <w:r>
        <w:t xml:space="preserve"> </w:t>
      </w:r>
      <w:r>
        <w:t xml:space="preserve">is a state transition in which a small or localized initial impact produces a disproportionately large system-level effect through known physical, ecological, social, or informational feedback mechanisms.</w:t>
      </w:r>
    </w:p>
    <w:p>
      <w:pPr>
        <w:pStyle w:val="BodyText"/>
      </w:pPr>
      <w:r>
        <w:t xml:space="preserve">Where such an event is detected:</w:t>
      </w:r>
    </w:p>
    <w:p>
      <w:pPr>
        <w:pStyle w:val="Compact"/>
        <w:numPr>
          <w:ilvl w:val="0"/>
          <w:numId w:val="1009"/>
        </w:numPr>
      </w:pPr>
      <w:r>
        <w:t xml:space="preserve">the originating Subject SHALL be fully causally linked to the cascade origin,</w:t>
      </w:r>
    </w:p>
    <w:p>
      <w:pPr>
        <w:pStyle w:val="Compact"/>
        <w:numPr>
          <w:ilvl w:val="0"/>
          <w:numId w:val="1009"/>
        </w:numPr>
      </w:pPr>
      <w:r>
        <w:t xml:space="preserve">responsibility MAY be distributed if multiple initiating actions are detected,</w:t>
      </w:r>
    </w:p>
    <w:p>
      <w:pPr>
        <w:pStyle w:val="Compact"/>
        <w:numPr>
          <w:ilvl w:val="0"/>
          <w:numId w:val="1009"/>
        </w:numPr>
      </w:pPr>
      <w:r>
        <w:t xml:space="preserve">rarity, novelty, or statistical improbability SHALL NOT constitute exemption.</w:t>
      </w:r>
    </w:p>
    <w:p>
      <w:r>
        <w:pict>
          <v:rect style="width:0;height:1.5pt" o:hralign="center" o:hrstd="t" o:hr="t"/>
        </w:pict>
      </w:r>
    </w:p>
    <w:bookmarkEnd w:id="22"/>
    <w:bookmarkStart w:id="23" w:name="X47f230dcbce0dce66097bbf06bf6d10989cb5e2"/>
    <w:p>
      <w:pPr>
        <w:pStyle w:val="Heading3"/>
      </w:pPr>
      <w:r>
        <w:t xml:space="preserve">10. Second- and Higher-Order Effects</w:t>
      </w:r>
    </w:p>
    <w:p>
      <w:pPr>
        <w:pStyle w:val="FirstParagraph"/>
      </w:pPr>
      <w:r>
        <w:t xml:space="preserve">Second-order effects arise from immediate reactions to an action. Third-order effects arise from adaptive responses to second-order effects.</w:t>
      </w:r>
    </w:p>
    <w:p>
      <w:pPr>
        <w:pStyle w:val="BodyText"/>
      </w:pPr>
      <w:r>
        <w:t xml:space="preserve">Such effects SHALL be attributed to the originating Subject when:</w:t>
      </w:r>
    </w:p>
    <w:p>
      <w:pPr>
        <w:pStyle w:val="BodyText"/>
      </w:pPr>
      <w:r>
        <w:t xml:space="preserve">a) the effects are physically or informationally measurable, and b) attribution does not require speculative modeling of intent or belief.</w:t>
      </w:r>
    </w:p>
    <w:p>
      <w:pPr>
        <w:pStyle w:val="BodyText"/>
      </w:pPr>
      <w:r>
        <w:t xml:space="preserve">Responsibility decays only when causal linkage falls below Physical Truth Layer confidence thresholds.</w:t>
      </w:r>
    </w:p>
    <w:p>
      <w:r>
        <w:pict>
          <v:rect style="width:0;height:1.5pt" o:hralign="center" o:hrstd="t" o:hr="t"/>
        </w:pict>
      </w:r>
    </w:p>
    <w:bookmarkEnd w:id="23"/>
    <w:bookmarkStart w:id="24" w:name="X7e8e8c94d8154e3baed7b0144bb3732c71dca64"/>
    <w:p>
      <w:pPr>
        <w:pStyle w:val="Heading3"/>
      </w:pPr>
      <w:r>
        <w:t xml:space="preserve">11. Cultural and Cognitive Harm</w:t>
      </w:r>
    </w:p>
    <w:p>
      <w:pPr>
        <w:pStyle w:val="FirstParagraph"/>
      </w:pPr>
      <w:r>
        <w:t xml:space="preserve">Cultural and cognitive harm constitutes valid systemic impact when measurable indicators demonstrate:</w:t>
      </w:r>
    </w:p>
    <w:p>
      <w:pPr>
        <w:pStyle w:val="BodyText"/>
      </w:pPr>
      <w:r>
        <w:t xml:space="preserve">a) persistent degradation of shared symbolic systems, language coherence, or knowledge transmission, or b) sustained increases in population-level cognitive distortion, disinformation persistence, or loss of epistemic capacity.</w:t>
      </w:r>
    </w:p>
    <w:p>
      <w:pPr>
        <w:pStyle w:val="BodyText"/>
      </w:pPr>
      <w:r>
        <w:t xml:space="preserve">Such harm SHALL be treated as a systemic externality even in the absence of immediate physical damage.</w:t>
      </w:r>
    </w:p>
    <w:p>
      <w:pPr>
        <w:pStyle w:val="BodyText"/>
      </w:pPr>
      <w:r>
        <w:t xml:space="preserve">Attribution SHALL be proportional to:</w:t>
      </w:r>
    </w:p>
    <w:p>
      <w:pPr>
        <w:pStyle w:val="Compact"/>
        <w:numPr>
          <w:ilvl w:val="0"/>
          <w:numId w:val="1010"/>
        </w:numPr>
      </w:pPr>
      <w:r>
        <w:t xml:space="preserve">reach,</w:t>
      </w:r>
    </w:p>
    <w:p>
      <w:pPr>
        <w:pStyle w:val="Compact"/>
        <w:numPr>
          <w:ilvl w:val="0"/>
          <w:numId w:val="1010"/>
        </w:numPr>
      </w:pPr>
      <w:r>
        <w:t xml:space="preserve">persistence,</w:t>
      </w:r>
    </w:p>
    <w:p>
      <w:pPr>
        <w:pStyle w:val="Compact"/>
        <w:numPr>
          <w:ilvl w:val="0"/>
          <w:numId w:val="1010"/>
        </w:numPr>
      </w:pPr>
      <w:r>
        <w:t xml:space="preserve">amplification potential of the contributing action.</w:t>
      </w:r>
    </w:p>
    <w:p>
      <w:r>
        <w:pict>
          <v:rect style="width:0;height:1.5pt" o:hralign="center" o:hrstd="t" o:hr="t"/>
        </w:pict>
      </w:r>
    </w:p>
    <w:bookmarkEnd w:id="24"/>
    <w:bookmarkStart w:id="25" w:name="X92e030fa5149e78f244de1f54c1da40dd5307dd"/>
    <w:p>
      <w:pPr>
        <w:pStyle w:val="Heading3"/>
      </w:pPr>
      <w:r>
        <w:t xml:space="preserve">12. Non-Exemption Clause</w:t>
      </w:r>
    </w:p>
    <w:p>
      <w:pPr>
        <w:pStyle w:val="FirstParagraph"/>
      </w:pPr>
      <w:r>
        <w:t xml:space="preserve">No Subject SHALL be exempt from attribution based on:</w:t>
      </w:r>
    </w:p>
    <w:p>
      <w:pPr>
        <w:pStyle w:val="Compact"/>
        <w:numPr>
          <w:ilvl w:val="0"/>
          <w:numId w:val="1011"/>
        </w:numPr>
      </w:pPr>
      <w:r>
        <w:t xml:space="preserve">status,</w:t>
      </w:r>
    </w:p>
    <w:p>
      <w:pPr>
        <w:pStyle w:val="Compact"/>
        <w:numPr>
          <w:ilvl w:val="0"/>
          <w:numId w:val="1011"/>
        </w:numPr>
      </w:pPr>
      <w:r>
        <w:t xml:space="preserve">authority,</w:t>
      </w:r>
    </w:p>
    <w:p>
      <w:pPr>
        <w:pStyle w:val="Compact"/>
        <w:numPr>
          <w:ilvl w:val="0"/>
          <w:numId w:val="1011"/>
        </w:numPr>
      </w:pPr>
      <w:r>
        <w:t xml:space="preserve">jurisdiction,</w:t>
      </w:r>
    </w:p>
    <w:p>
      <w:pPr>
        <w:pStyle w:val="Compact"/>
        <w:numPr>
          <w:ilvl w:val="0"/>
          <w:numId w:val="1011"/>
        </w:numPr>
      </w:pPr>
      <w:r>
        <w:t xml:space="preserve">ideology,</w:t>
      </w:r>
    </w:p>
    <w:p>
      <w:pPr>
        <w:pStyle w:val="Compact"/>
        <w:numPr>
          <w:ilvl w:val="0"/>
          <w:numId w:val="1011"/>
        </w:numPr>
      </w:pPr>
      <w:r>
        <w:t xml:space="preserve">cultural or moral justification,</w:t>
      </w:r>
    </w:p>
    <w:p>
      <w:pPr>
        <w:pStyle w:val="Compact"/>
        <w:numPr>
          <w:ilvl w:val="0"/>
          <w:numId w:val="1011"/>
        </w:numPr>
      </w:pPr>
      <w:r>
        <w:t xml:space="preserve">delegation to automation,</w:t>
      </w:r>
    </w:p>
    <w:p>
      <w:pPr>
        <w:pStyle w:val="Compact"/>
        <w:numPr>
          <w:ilvl w:val="0"/>
          <w:numId w:val="1011"/>
        </w:numPr>
      </w:pPr>
      <w:r>
        <w:t xml:space="preserve">temporal delay between action and effect.</w:t>
      </w:r>
    </w:p>
    <w:p>
      <w:pPr>
        <w:pStyle w:val="FirstParagraph"/>
      </w:pPr>
      <w:r>
        <w:t xml:space="preserve">Responsibility follows causality, not hierarchy.</w:t>
      </w:r>
    </w:p>
    <w:p>
      <w:r>
        <w:pict>
          <v:rect style="width:0;height:1.5pt" o:hralign="center" o:hrstd="t" o:hr="t"/>
        </w:pict>
      </w:r>
    </w:p>
    <w:bookmarkEnd w:id="25"/>
    <w:bookmarkStart w:id="26" w:name="X461af9cbf1ae1dbbb4fe5374fe8caaee2cec184"/>
    <w:p>
      <w:pPr>
        <w:pStyle w:val="Heading3"/>
      </w:pPr>
      <w:r>
        <w:t xml:space="preserve">13. Cross-Layer Isolation</w:t>
      </w:r>
    </w:p>
    <w:p>
      <w:pPr>
        <w:pStyle w:val="FirstParagraph"/>
      </w:pPr>
      <w:r>
        <w:t xml:space="preserve">This protocol SHALL NOT:</w:t>
      </w:r>
    </w:p>
    <w:p>
      <w:pPr>
        <w:pStyle w:val="Compact"/>
        <w:numPr>
          <w:ilvl w:val="0"/>
          <w:numId w:val="1012"/>
        </w:numPr>
      </w:pPr>
      <w:r>
        <w:t xml:space="preserve">measure impact magnitude,</w:t>
      </w:r>
    </w:p>
    <w:p>
      <w:pPr>
        <w:pStyle w:val="Compact"/>
        <w:numPr>
          <w:ilvl w:val="0"/>
          <w:numId w:val="1012"/>
        </w:numPr>
      </w:pPr>
      <w:r>
        <w:t xml:space="preserve">evaluate justice or proportionality,</w:t>
      </w:r>
    </w:p>
    <w:p>
      <w:pPr>
        <w:pStyle w:val="Compact"/>
        <w:numPr>
          <w:ilvl w:val="0"/>
          <w:numId w:val="1012"/>
        </w:numPr>
      </w:pPr>
      <w:r>
        <w:t xml:space="preserve">assign sanctions or compensation,</w:t>
      </w:r>
    </w:p>
    <w:p>
      <w:pPr>
        <w:pStyle w:val="Compact"/>
        <w:numPr>
          <w:ilvl w:val="0"/>
          <w:numId w:val="1012"/>
        </w:numPr>
      </w:pPr>
      <w:r>
        <w:t xml:space="preserve">override or reinterpret outputs of DKP-1-IMPACT-001.</w:t>
      </w:r>
    </w:p>
    <w:p>
      <w:pPr>
        <w:pStyle w:val="FirstParagraph"/>
      </w:pPr>
      <w:r>
        <w:t xml:space="preserve">Violation constitutes a critical architectural breach.</w:t>
      </w:r>
    </w:p>
    <w:p>
      <w:r>
        <w:pict>
          <v:rect style="width:0;height:1.5pt" o:hralign="center" o:hrstd="t" o:hr="t"/>
        </w:pict>
      </w:r>
    </w:p>
    <w:bookmarkEnd w:id="26"/>
    <w:bookmarkStart w:id="28" w:name="X02ffe642901d9b59b9c87ad2f050ec90f5ddd40"/>
    <w:p>
      <w:pPr>
        <w:pStyle w:val="Heading3"/>
      </w:pPr>
      <w:r>
        <w:t xml:space="preserve">14. Protocol Finality</w:t>
      </w:r>
    </w:p>
    <w:p>
      <w:pPr>
        <w:pStyle w:val="FirstParagraph"/>
      </w:pPr>
      <w:r>
        <w:t xml:space="preserve">This protocol is changed only through the controlled procedure of DKP-4-UPGRADE-001: proposal, simulation under DKP-8-SIMULATION-001, audit under DKP-8-AUDIT-001, acceptance conditions, activation window and rollback.</w:t>
      </w:r>
    </w:p>
    <w:p>
      <w:pPr>
        <w:pStyle w:val="BodyText"/>
      </w:pPr>
      <w:r>
        <w:t xml:space="preserve">Any modification requires:</w:t>
      </w:r>
    </w:p>
    <w:p>
      <w:pPr>
        <w:pStyle w:val="Compact"/>
        <w:numPr>
          <w:ilvl w:val="0"/>
          <w:numId w:val="1013"/>
        </w:numPr>
      </w:pPr>
      <w:r>
        <w:t xml:space="preserve">a new protocol identifier,</w:t>
      </w:r>
    </w:p>
    <w:p>
      <w:pPr>
        <w:pStyle w:val="Compact"/>
        <w:numPr>
          <w:ilvl w:val="0"/>
          <w:numId w:val="1013"/>
        </w:numPr>
      </w:pPr>
      <w:r>
        <w:t xml:space="preserve">explicit declaration of incompatibility,</w:t>
      </w:r>
    </w:p>
    <w:p>
      <w:pPr>
        <w:pStyle w:val="Compact"/>
        <w:numPr>
          <w:ilvl w:val="0"/>
          <w:numId w:val="1013"/>
        </w:numPr>
      </w:pPr>
      <w:r>
        <w:t xml:space="preserve">full-system simulation under DKP-8-SIMULATION.</w:t>
      </w:r>
    </w:p>
    <w:p>
      <w:pPr>
        <w:pStyle w:val="FirstParagraph"/>
      </w:pPr>
      <w:r>
        <w:t xml:space="preserve">Presentation-only corrections that do not change normative content are not Upgrades (DKP-4-UPGRADE-001 §3); they are recorded only by the "Last updated" date of this document.</w:t>
      </w:r>
    </w:p>
    <w:p>
      <w:pPr>
        <w:pStyle w:val="BodyText"/>
      </w:pPr>
      <w:r>
        <w:t xml:space="preserve">Edition integrity: the SHA-256 digest of the canonical source of each published edition is listed in</w:t>
      </w:r>
      <w:r>
        <w:t xml:space="preserve"> </w:t>
      </w:r>
      <w:r>
        <w:rPr>
          <w:rStyle w:val="VerbatimChar"/>
        </w:rPr>
        <w:t xml:space="preserve">SHA256SUMS.txt</w:t>
      </w:r>
      <w:r>
        <w:t xml:space="preserve"> </w:t>
      </w:r>
      <w:r>
        <w:t xml:space="preserve">of the canonical repository (github.com/anahronic/World).</w:t>
      </w:r>
    </w:p>
    <w:p>
      <w:r>
        <w:pict>
          <v:rect style="width:0;height:1.5pt" o:hralign="center" o:hrstd="t" o:hr="t"/>
        </w:pict>
      </w:r>
    </w:p>
    <w:bookmarkStart w:id="27" w:name="end-of-protocol"/>
    <w:p>
      <w:pPr>
        <w:pStyle w:val="Heading4"/>
      </w:pPr>
      <w:r>
        <w:t xml:space="preserve">END OF PROTOCOL</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2026-10-04T10:23:46Z</dcterms:created>
  <dcterms:modified xsi:type="dcterms:W3CDTF">2026-10-04T10:23:46Z</dcterms:modified>
</cp:coreProperties>
</file>

<file path=docProps/custom.xml><?xml version="1.0" encoding="utf-8"?>
<Properties xmlns="http://schemas.openxmlformats.org/officeDocument/2006/custom-properties" xmlns:vt="http://schemas.openxmlformats.org/officeDocument/2006/docPropsVTypes"/>
</file>