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kp-1-impact-001"/>
    <w:p>
      <w:pPr>
        <w:pStyle w:val="Heading1"/>
      </w:pPr>
      <w:r>
        <w:t xml:space="preserve">DKP-1-IMPACT-001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impact-measurement-protocol"/>
    <w:p>
      <w:pPr>
        <w:pStyle w:val="Heading3"/>
      </w:pPr>
      <w:r>
        <w:t xml:space="preserve">Impact Measurement Protocol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Impact Measurement Protocol defines how changes in the</w:t>
      </w:r>
      <w:r>
        <w:t xml:space="preserve"> </w:t>
      </w:r>
      <w:r>
        <w:rPr>
          <w:b/>
          <w:bCs/>
        </w:rPr>
        <w:t xml:space="preserve">Physical State Vector S(t)</w:t>
      </w:r>
      <w:r>
        <w:t xml:space="preserve"> </w:t>
      </w:r>
      <w:r>
        <w:t xml:space="preserve">are transformed into</w:t>
      </w:r>
      <w:r>
        <w:t xml:space="preserve"> </w:t>
      </w:r>
      <w:r>
        <w:rPr>
          <w:b/>
          <w:bCs/>
        </w:rPr>
        <w:t xml:space="preserve">time-indexed, bounded, and auditable impact metrics</w:t>
      </w:r>
      <w:r>
        <w:t xml:space="preserve">.</w:t>
      </w:r>
    </w:p>
    <w:p>
      <w:pPr>
        <w:pStyle w:val="BodyText"/>
      </w:pPr>
      <w:r>
        <w:t xml:space="preserve">This protocol performs</w:t>
      </w:r>
      <w:r>
        <w:t xml:space="preserve"> </w:t>
      </w:r>
      <w:r>
        <w:rPr>
          <w:b/>
          <w:bCs/>
        </w:rPr>
        <w:t xml:space="preserve">measurement only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interpret value, intent, utility, justice, responsibility, or policy.</w:t>
      </w:r>
    </w:p>
    <w:p>
      <w:r>
        <w:pict>
          <v:rect style="width:0;height:1.5pt" o:hralign="center" o:hrstd="t" o:hr="t"/>
        </w:pict>
      </w:r>
    </w:p>
    <w:bookmarkEnd w:id="10"/>
    <w:bookmarkStart w:id="11" w:name="X10151dccd4007a2887c7d3f5f4281f203f985de"/>
    <w:p>
      <w:pPr>
        <w:pStyle w:val="Heading3"/>
      </w:pPr>
      <w:r>
        <w:t xml:space="preserve">2. System Position and Anchoring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1"/>
        </w:numPr>
      </w:pPr>
      <w:r>
        <w:t xml:space="preserve">above DKP-0-ORACLE-001 (Physical Truth Layer),</w:t>
      </w:r>
    </w:p>
    <w:p>
      <w:pPr>
        <w:pStyle w:val="Compact"/>
        <w:numPr>
          <w:ilvl w:val="0"/>
          <w:numId w:val="1001"/>
        </w:numPr>
      </w:pPr>
      <w:r>
        <w:t xml:space="preserve">below DKP-1-IDENTITY-001 (Identity &amp; Subject Protocol),</w:t>
      </w:r>
    </w:p>
    <w:p>
      <w:pPr>
        <w:pStyle w:val="Compact"/>
        <w:numPr>
          <w:ilvl w:val="0"/>
          <w:numId w:val="1001"/>
        </w:numPr>
      </w:pPr>
      <w:r>
        <w:t xml:space="preserve">below DKP-1-JUSTICE-001 (Justice Function Protocol),</w:t>
      </w:r>
    </w:p>
    <w:p>
      <w:pPr>
        <w:pStyle w:val="Compact"/>
        <w:numPr>
          <w:ilvl w:val="0"/>
          <w:numId w:val="1001"/>
        </w:numPr>
      </w:pPr>
      <w:r>
        <w:t xml:space="preserve">below all governance, economic, and enforcement protocols.</w:t>
      </w:r>
    </w:p>
    <w:p>
      <w:pPr>
        <w:pStyle w:val="FirstParagraph"/>
      </w:pPr>
      <w:r>
        <w:t xml:space="preserve">All inputs to this protocol MUST originate exclusively from</w:t>
      </w:r>
      <w:r>
        <w:t xml:space="preserve"> </w:t>
      </w:r>
      <w:r>
        <w:rPr>
          <w:b/>
          <w:bCs/>
        </w:rPr>
        <w:t xml:space="preserve">Physical Truth Layer outputs</w:t>
      </w:r>
      <w:r>
        <w:t xml:space="preserve">.</w:t>
      </w:r>
    </w:p>
    <w:p>
      <w:pPr>
        <w:pStyle w:val="BodyText"/>
      </w:pPr>
      <w:r>
        <w:t xml:space="preserve">All reference bounds</w:t>
      </w:r>
      <w:r>
        <w:t xml:space="preserve"> </w:t>
      </w:r>
      <w:r>
        <w:rPr>
          <w:b/>
          <w:bCs/>
        </w:rPr>
        <w:t xml:space="preserve">Bᵢ</w:t>
      </w:r>
      <w:r>
        <w:t xml:space="preserve"> </w:t>
      </w:r>
      <w:r>
        <w:t xml:space="preserve">MUST be explicitly imported from:</w:t>
      </w:r>
    </w:p>
    <w:p>
      <w:pPr>
        <w:numPr>
          <w:ilvl w:val="0"/>
          <w:numId w:val="1002"/>
        </w:numPr>
      </w:pPr>
      <w:r>
        <w:t xml:space="preserve">DKP-1-AXIOMS-001, or</w:t>
      </w:r>
    </w:p>
    <w:p>
      <w:pPr>
        <w:numPr>
          <w:ilvl w:val="0"/>
          <w:numId w:val="1002"/>
        </w:numPr>
      </w:pPr>
      <w:r>
        <w:t xml:space="preserve">normatively defined Physical Truth Layer indices</w:t>
      </w:r>
    </w:p>
    <w:p>
      <w:pPr>
        <w:numPr>
          <w:ilvl w:val="0"/>
          <w:numId w:val="1000"/>
        </w:numPr>
      </w:pPr>
      <w:r>
        <w:t xml:space="preserve">(e.g., biosphere survival thresholds anchored in Genesis Block constants).</w:t>
      </w:r>
    </w:p>
    <w:p>
      <w:pPr>
        <w:pStyle w:val="FirstParagraph"/>
      </w:pPr>
      <w:r>
        <w:t xml:space="preserve">This protocol is bound to</w:t>
      </w:r>
      <w:r>
        <w:t xml:space="preserve"> </w:t>
      </w:r>
      <w:r>
        <w:rPr>
          <w:b/>
          <w:bCs/>
        </w:rPr>
        <w:t xml:space="preserve">Genesis Block #0 (2025-12-10)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25d0be9279514911651d99fd74a027e3892227a"/>
    <w:p>
      <w:pPr>
        <w:pStyle w:val="Heading3"/>
      </w:pPr>
      <w:r>
        <w:t xml:space="preserve">3. Scope</w:t>
      </w:r>
    </w:p>
    <w:p>
      <w:pPr>
        <w:pStyle w:val="FirstParagraph"/>
      </w:pPr>
      <w:r>
        <w:t xml:space="preserve">This protocol governs:</w:t>
      </w:r>
    </w:p>
    <w:p>
      <w:pPr>
        <w:pStyle w:val="Compact"/>
        <w:numPr>
          <w:ilvl w:val="0"/>
          <w:numId w:val="1003"/>
        </w:numPr>
      </w:pPr>
      <w:r>
        <w:t xml:space="preserve">measurement of state change between two physical states,</w:t>
      </w:r>
    </w:p>
    <w:p>
      <w:pPr>
        <w:pStyle w:val="Compact"/>
        <w:numPr>
          <w:ilvl w:val="0"/>
          <w:numId w:val="1003"/>
        </w:numPr>
      </w:pPr>
      <w:r>
        <w:t xml:space="preserve">time-indexed impact evaluation over an externally supplied horizon Δt,</w:t>
      </w:r>
    </w:p>
    <w:p>
      <w:pPr>
        <w:pStyle w:val="Compact"/>
        <w:numPr>
          <w:ilvl w:val="0"/>
          <w:numId w:val="1003"/>
        </w:numPr>
      </w:pPr>
      <w:r>
        <w:t xml:space="preserve">detection of boundary approach and boundary crossing,</w:t>
      </w:r>
    </w:p>
    <w:p>
      <w:pPr>
        <w:pStyle w:val="Compact"/>
        <w:numPr>
          <w:ilvl w:val="0"/>
          <w:numId w:val="1003"/>
        </w:numPr>
      </w:pPr>
      <w:r>
        <w:t xml:space="preserve">classification of reversibility and externality,</w:t>
      </w:r>
    </w:p>
    <w:p>
      <w:pPr>
        <w:pStyle w:val="Compact"/>
        <w:numPr>
          <w:ilvl w:val="0"/>
          <w:numId w:val="1003"/>
        </w:numPr>
      </w:pPr>
      <w:r>
        <w:t xml:space="preserve">production of structured, channel-separated impact outputs.</w:t>
      </w:r>
    </w:p>
    <w:p>
      <w:pPr>
        <w:pStyle w:val="FirstParagraph"/>
      </w:pPr>
      <w:r>
        <w:t xml:space="preserve">This protocol explicitly excludes:</w:t>
      </w:r>
    </w:p>
    <w:p>
      <w:pPr>
        <w:pStyle w:val="Compact"/>
        <w:numPr>
          <w:ilvl w:val="0"/>
          <w:numId w:val="1004"/>
        </w:numPr>
      </w:pPr>
      <w:r>
        <w:t xml:space="preserve">optimization, scoring, or weighting,</w:t>
      </w:r>
    </w:p>
    <w:p>
      <w:pPr>
        <w:pStyle w:val="Compact"/>
        <w:numPr>
          <w:ilvl w:val="0"/>
          <w:numId w:val="1004"/>
        </w:numPr>
      </w:pPr>
      <w:r>
        <w:t xml:space="preserve">aggregation across channels,</w:t>
      </w:r>
    </w:p>
    <w:p>
      <w:pPr>
        <w:pStyle w:val="Compact"/>
        <w:numPr>
          <w:ilvl w:val="0"/>
          <w:numId w:val="1004"/>
        </w:numPr>
      </w:pPr>
      <w:r>
        <w:t xml:space="preserve">decision-making or enforcement,</w:t>
      </w:r>
    </w:p>
    <w:p>
      <w:pPr>
        <w:pStyle w:val="Compact"/>
        <w:numPr>
          <w:ilvl w:val="0"/>
          <w:numId w:val="1004"/>
        </w:numPr>
      </w:pPr>
      <w:r>
        <w:t xml:space="preserve">attribution of responsibility,</w:t>
      </w:r>
    </w:p>
    <w:p>
      <w:pPr>
        <w:pStyle w:val="Compact"/>
        <w:numPr>
          <w:ilvl w:val="0"/>
          <w:numId w:val="1004"/>
        </w:numPr>
      </w:pPr>
      <w:r>
        <w:t xml:space="preserve">compensation logic,</w:t>
      </w:r>
    </w:p>
    <w:p>
      <w:pPr>
        <w:pStyle w:val="Compact"/>
        <w:numPr>
          <w:ilvl w:val="0"/>
          <w:numId w:val="1004"/>
        </w:numPr>
      </w:pPr>
      <w:r>
        <w:t xml:space="preserve">any form of utility or justice calculation.</w:t>
      </w:r>
    </w:p>
    <w:p>
      <w:r>
        <w:pict>
          <v:rect style="width:0;height:1.5pt" o:hralign="center" o:hrstd="t" o:hr="t"/>
        </w:pict>
      </w:r>
    </w:p>
    <w:bookmarkEnd w:id="12"/>
    <w:bookmarkStart w:id="23" w:name="X8060fd2d88e00f5bf05620281d7d6d37275dbf4"/>
    <w:p>
      <w:pPr>
        <w:pStyle w:val="Heading3"/>
      </w:pPr>
      <w:r>
        <w:t xml:space="preserve">4. Core Definitions</w:t>
      </w:r>
    </w:p>
    <w:bookmarkStart w:id="13" w:name="physical-state-vector-st"/>
    <w:p>
      <w:pPr>
        <w:pStyle w:val="Heading4"/>
      </w:pPr>
      <w:r>
        <w:t xml:space="preserve">Physical State Vector S(t)</w:t>
      </w:r>
    </w:p>
    <w:p>
      <w:pPr>
        <w:pStyle w:val="FirstParagraph"/>
      </w:pPr>
      <w:r>
        <w:t xml:space="preserve">An immutable, time-indexed vector of measured physical variables produced by DKP-0-ORACLE-001.</w:t>
      </w:r>
    </w:p>
    <w:p>
      <w:r>
        <w:pict>
          <v:rect style="width:0;height:1.5pt" o:hralign="center" o:hrstd="t" o:hr="t"/>
        </w:pict>
      </w:r>
    </w:p>
    <w:bookmarkEnd w:id="13"/>
    <w:bookmarkStart w:id="14" w:name="baseline-state-st₀"/>
    <w:p>
      <w:pPr>
        <w:pStyle w:val="Heading4"/>
      </w:pPr>
      <w:r>
        <w:t xml:space="preserve">Baseline State S(t₀)</w:t>
      </w:r>
    </w:p>
    <w:p>
      <w:pPr>
        <w:pStyle w:val="FirstParagraph"/>
      </w:pPr>
      <w:r>
        <w:t xml:space="preserve">The reference physical state prior to an evaluated change.</w:t>
      </w:r>
    </w:p>
    <w:p>
      <w:r>
        <w:pict>
          <v:rect style="width:0;height:1.5pt" o:hralign="center" o:hrstd="t" o:hr="t"/>
        </w:pict>
      </w:r>
    </w:p>
    <w:bookmarkEnd w:id="14"/>
    <w:bookmarkStart w:id="15" w:name="observed-state-st₁"/>
    <w:p>
      <w:pPr>
        <w:pStyle w:val="Heading4"/>
      </w:pPr>
      <w:r>
        <w:t xml:space="preserve">Observed State S(t₁)</w:t>
      </w:r>
    </w:p>
    <w:p>
      <w:pPr>
        <w:pStyle w:val="FirstParagraph"/>
      </w:pPr>
      <w:r>
        <w:t xml:space="preserve">The measured physical state after the evaluated change.</w:t>
      </w:r>
    </w:p>
    <w:p>
      <w:r>
        <w:pict>
          <v:rect style="width:0;height:1.5pt" o:hralign="center" o:hrstd="t" o:hr="t"/>
        </w:pict>
      </w:r>
    </w:p>
    <w:bookmarkEnd w:id="15"/>
    <w:bookmarkStart w:id="16" w:name="impact-horizon-δt"/>
    <w:p>
      <w:pPr>
        <w:pStyle w:val="Heading4"/>
      </w:pPr>
      <w:r>
        <w:t xml:space="preserve">Impact Horizon Δt</w:t>
      </w:r>
    </w:p>
    <w:p>
      <w:pPr>
        <w:pStyle w:val="FirstParagraph"/>
      </w:pPr>
      <w:r>
        <w:t xml:space="preserve">A time interval supplied as an external parameter defining the evaluation window.</w:t>
      </w:r>
    </w:p>
    <w:p>
      <w:r>
        <w:pict>
          <v:rect style="width:0;height:1.5pt" o:hralign="center" o:hrstd="t" o:hr="t"/>
        </w:pict>
      </w:r>
    </w:p>
    <w:bookmarkEnd w:id="16"/>
    <w:bookmarkStart w:id="17" w:name="impact-channel"/>
    <w:p>
      <w:pPr>
        <w:pStyle w:val="Heading4"/>
      </w:pPr>
      <w:r>
        <w:t xml:space="preserve">Impact Channel</w:t>
      </w:r>
    </w:p>
    <w:p>
      <w:pPr>
        <w:pStyle w:val="FirstParagraph"/>
      </w:pPr>
      <w:r>
        <w:t xml:space="preserve">A logically independent dimension of physical or informational impact.</w:t>
      </w:r>
    </w:p>
    <w:p>
      <w:pPr>
        <w:pStyle w:val="BodyText"/>
      </w:pPr>
      <w:r>
        <w:t xml:space="preserve">Normatively declared impact channels include, but are not limited to:</w:t>
      </w:r>
    </w:p>
    <w:p>
      <w:pPr>
        <w:pStyle w:val="Compact"/>
        <w:numPr>
          <w:ilvl w:val="0"/>
          <w:numId w:val="1005"/>
        </w:numPr>
      </w:pPr>
      <w:r>
        <w:t xml:space="preserve">Biosphere Integrity</w:t>
      </w:r>
    </w:p>
    <w:p>
      <w:pPr>
        <w:pStyle w:val="Compact"/>
        <w:numPr>
          <w:ilvl w:val="0"/>
          <w:numId w:val="1005"/>
        </w:numPr>
      </w:pPr>
      <w:r>
        <w:t xml:space="preserve">Atmospheric Composition</w:t>
      </w:r>
    </w:p>
    <w:p>
      <w:pPr>
        <w:pStyle w:val="Compact"/>
        <w:numPr>
          <w:ilvl w:val="0"/>
          <w:numId w:val="1005"/>
        </w:numPr>
      </w:pPr>
      <w:r>
        <w:t xml:space="preserve">Human Health Proxies</w:t>
      </w:r>
    </w:p>
    <w:p>
      <w:pPr>
        <w:pStyle w:val="Compact"/>
        <w:numPr>
          <w:ilvl w:val="0"/>
          <w:numId w:val="1005"/>
        </w:numPr>
      </w:pPr>
      <w:r>
        <w:t xml:space="preserve">Resource Depletion</w:t>
      </w:r>
    </w:p>
    <w:p>
      <w:pPr>
        <w:pStyle w:val="Compact"/>
        <w:numPr>
          <w:ilvl w:val="0"/>
          <w:numId w:val="1005"/>
        </w:numPr>
      </w:pPr>
      <w:r>
        <w:t xml:space="preserve">Energy Balance</w:t>
      </w:r>
    </w:p>
    <w:p>
      <w:pPr>
        <w:pStyle w:val="Compact"/>
        <w:numPr>
          <w:ilvl w:val="0"/>
          <w:numId w:val="1005"/>
        </w:numPr>
      </w:pPr>
      <w:r>
        <w:t xml:space="preserve">Cognitive Integrity Proxies</w:t>
      </w:r>
    </w:p>
    <w:p>
      <w:pPr>
        <w:pStyle w:val="Compact"/>
        <w:numPr>
          <w:ilvl w:val="0"/>
          <w:numId w:val="1005"/>
        </w:numPr>
      </w:pPr>
      <w:r>
        <w:t xml:space="preserve">Cultural Continuity Indicators</w:t>
      </w:r>
    </w:p>
    <w:p>
      <w:r>
        <w:pict>
          <v:rect style="width:0;height:1.5pt" o:hralign="center" o:hrstd="t" o:hr="t"/>
        </w:pict>
      </w:r>
    </w:p>
    <w:bookmarkEnd w:id="17"/>
    <w:bookmarkStart w:id="18" w:name="impact-vector-iᵢt₀--t₁-δt"/>
    <w:p>
      <w:pPr>
        <w:pStyle w:val="Heading4"/>
      </w:pPr>
      <w:r>
        <w:t xml:space="preserve">Impact Vector Iᵢ(t₀ → t₁, Δt)</w:t>
      </w:r>
    </w:p>
    <w:p>
      <w:pPr>
        <w:pStyle w:val="FirstParagraph"/>
      </w:pPr>
      <w:r>
        <w:t xml:space="preserve">A channel-specific, bounded impact metric defined as normalized physical change.</w:t>
      </w:r>
    </w:p>
    <w:p>
      <w:r>
        <w:pict>
          <v:rect style="width:0;height:1.5pt" o:hralign="center" o:hrstd="t" o:hr="t"/>
        </w:pict>
      </w:r>
    </w:p>
    <w:bookmarkEnd w:id="18"/>
    <w:bookmarkStart w:id="19" w:name="reference-bounds-bᵢ"/>
    <w:p>
      <w:pPr>
        <w:pStyle w:val="Heading4"/>
      </w:pPr>
      <w:r>
        <w:t xml:space="preserve">Reference Bounds Bᵢ</w:t>
      </w:r>
    </w:p>
    <w:p>
      <w:pPr>
        <w:pStyle w:val="FirstParagraph"/>
      </w:pPr>
      <w:r>
        <w:t xml:space="preserve">Invariant physical limits imported from DKP-1-AXIOMS-001 or Physical Truth Layer indices.</w:t>
      </w:r>
    </w:p>
    <w:p>
      <w:r>
        <w:pict>
          <v:rect style="width:0;height:1.5pt" o:hralign="center" o:hrstd="t" o:hr="t"/>
        </w:pict>
      </w:r>
    </w:p>
    <w:bookmarkEnd w:id="19"/>
    <w:bookmarkStart w:id="20" w:name="reversibility-flag-rᵢ"/>
    <w:p>
      <w:pPr>
        <w:pStyle w:val="Heading4"/>
      </w:pPr>
      <w:r>
        <w:t xml:space="preserve">Reversibility Flag Rᵢ</w:t>
      </w:r>
    </w:p>
    <w:p>
      <w:pPr>
        <w:pStyle w:val="FirstParagraph"/>
      </w:pPr>
      <w:r>
        <w:t xml:space="preserve">A boolean indicator of physical or informational irreversibility.</w:t>
      </w:r>
    </w:p>
    <w:p>
      <w:r>
        <w:pict>
          <v:rect style="width:0;height:1.5pt" o:hralign="center" o:hrstd="t" o:hr="t"/>
        </w:pict>
      </w:r>
    </w:p>
    <w:bookmarkEnd w:id="20"/>
    <w:bookmarkStart w:id="21" w:name="externality-flag-xᵢ"/>
    <w:p>
      <w:pPr>
        <w:pStyle w:val="Heading4"/>
      </w:pPr>
      <w:r>
        <w:t xml:space="preserve">Externality Flag Xᵢ</w:t>
      </w:r>
    </w:p>
    <w:p>
      <w:pPr>
        <w:pStyle w:val="FirstParagraph"/>
      </w:pPr>
      <w:r>
        <w:t xml:space="preserve">A boolean indicator of boundary-crossing impact.</w:t>
      </w:r>
    </w:p>
    <w:p>
      <w:r>
        <w:pict>
          <v:rect style="width:0;height:1.5pt" o:hralign="center" o:hrstd="t" o:hr="t"/>
        </w:pict>
      </w:r>
    </w:p>
    <w:bookmarkEnd w:id="21"/>
    <w:bookmarkStart w:id="22" w:name="uncertainty-envelope-uᵢ"/>
    <w:p>
      <w:pPr>
        <w:pStyle w:val="Heading4"/>
      </w:pPr>
      <w:r>
        <w:t xml:space="preserve">Uncertainty Envelope Uᵢ</w:t>
      </w:r>
    </w:p>
    <w:p>
      <w:pPr>
        <w:pStyle w:val="FirstParagraph"/>
      </w:pPr>
      <w:r>
        <w:t xml:space="preserve">A bounded confidence interval propagated from Physical Truth Layer uncertainty.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79088f6a277711a6852245ced199cc07b7bcb7a"/>
    <w:p>
      <w:pPr>
        <w:pStyle w:val="Heading3"/>
      </w:pPr>
      <w:r>
        <w:t xml:space="preserve">5. Measurement Principle</w:t>
      </w:r>
    </w:p>
    <w:p>
      <w:pPr>
        <w:pStyle w:val="FirstParagraph"/>
      </w:pPr>
      <w:r>
        <w:t xml:space="preserve">Impact is defined strictly as the</w:t>
      </w:r>
      <w:r>
        <w:t xml:space="preserve"> </w:t>
      </w:r>
      <w:r>
        <w:rPr>
          <w:b/>
          <w:bCs/>
        </w:rPr>
        <w:t xml:space="preserve">difference between two physical states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S(t₀) → S(t₁)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Δt</w:t>
      </w:r>
    </w:p>
    <w:p>
      <w:pPr>
        <w:pStyle w:val="BodyText"/>
      </w:pPr>
      <w:r>
        <w:t xml:space="preserve">For each impact channel</w:t>
      </w:r>
      <w:r>
        <w:t xml:space="preserve"> </w:t>
      </w:r>
      <w:r>
        <w:rPr>
          <w:i/>
          <w:iCs/>
        </w:rPr>
        <w:t xml:space="preserve">i</w:t>
      </w:r>
      <w:r>
        <w:t xml:space="preserve">, let</w:t>
      </w:r>
      <w:r>
        <w:t xml:space="preserve"> </w:t>
      </w:r>
      <w:r>
        <w:rPr>
          <w:i/>
          <w:iCs/>
        </w:rPr>
        <w:t xml:space="preserve">Sᵢ(t)</w:t>
      </w:r>
      <w:r>
        <w:t xml:space="preserve"> </w:t>
      </w:r>
      <w:r>
        <w:t xml:space="preserve">denote the projection of</w:t>
      </w:r>
      <w:r>
        <w:t xml:space="preserve"> </w:t>
      </w:r>
      <w:r>
        <w:rPr>
          <w:i/>
          <w:iCs/>
        </w:rPr>
        <w:t xml:space="preserve">S(t)</w:t>
      </w:r>
      <w:r>
        <w:t xml:space="preserve"> </w:t>
      </w:r>
      <w:r>
        <w:t xml:space="preserve">onto channel</w:t>
      </w:r>
      <w:r>
        <w:t xml:space="preserve"> </w:t>
      </w:r>
      <w:r>
        <w:rPr>
          <w:i/>
          <w:iCs/>
        </w:rPr>
        <w:t xml:space="preserve">i</w:t>
      </w:r>
      <w:r>
        <w:t xml:space="preserve">.</w:t>
      </w:r>
    </w:p>
    <w:p>
      <w:pPr>
        <w:pStyle w:val="BodyText"/>
      </w:pPr>
      <w:r>
        <w:t xml:space="preserve">The protocol computes:</w:t>
      </w:r>
    </w:p>
    <w:p>
      <w:pPr>
        <w:pStyle w:val="BodyText"/>
      </w:pPr>
      <w:r>
        <w:rPr>
          <w:b/>
          <w:bCs/>
        </w:rPr>
        <w:t xml:space="preserve">Iᵢ = ( Sᵢ(t₁) − Sᵢ(t₀) ) / Bᵢ</w:t>
      </w:r>
    </w:p>
    <w:p>
      <w:pPr>
        <w:pStyle w:val="BodyText"/>
      </w:pPr>
      <w:r>
        <w:t xml:space="preserve">The resulting value is:</w:t>
      </w:r>
    </w:p>
    <w:p>
      <w:pPr>
        <w:pStyle w:val="Compact"/>
        <w:numPr>
          <w:ilvl w:val="0"/>
          <w:numId w:val="1006"/>
        </w:numPr>
      </w:pPr>
      <w:r>
        <w:t xml:space="preserve">unaggregated,</w:t>
      </w:r>
    </w:p>
    <w:p>
      <w:pPr>
        <w:pStyle w:val="Compact"/>
        <w:numPr>
          <w:ilvl w:val="0"/>
          <w:numId w:val="1006"/>
        </w:numPr>
      </w:pPr>
      <w:r>
        <w:t xml:space="preserve">dimensionless,</w:t>
      </w:r>
    </w:p>
    <w:p>
      <w:pPr>
        <w:pStyle w:val="Compact"/>
        <w:numPr>
          <w:ilvl w:val="0"/>
          <w:numId w:val="1006"/>
        </w:numPr>
      </w:pPr>
      <w:r>
        <w:t xml:space="preserve">auditable.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|Iᵢ| ≥ 1</w:t>
      </w:r>
      <w:r>
        <w:t xml:space="preserve">, a boundary crossing SHALL be flagged.</w:t>
      </w:r>
    </w:p>
    <w:p>
      <w:pPr>
        <w:pStyle w:val="BodyText"/>
      </w:pPr>
      <w:r>
        <w:t xml:space="preserve">No aggregation across channels is permitted.</w:t>
      </w:r>
    </w:p>
    <w:p>
      <w:r>
        <w:pict>
          <v:rect style="width:0;height:1.5pt" o:hralign="center" o:hrstd="t" o:hr="t"/>
        </w:pict>
      </w:r>
    </w:p>
    <w:bookmarkEnd w:id="24"/>
    <w:bookmarkStart w:id="25" w:name="X5e6b98bc5177ef63f9ed862b1fbf1f405f85158"/>
    <w:p>
      <w:pPr>
        <w:pStyle w:val="Heading3"/>
      </w:pPr>
      <w:r>
        <w:t xml:space="preserve">6. Reference Bounds and Boundary Detection</w:t>
      </w:r>
    </w:p>
    <w:p>
      <w:pPr>
        <w:pStyle w:val="FirstParagraph"/>
      </w:pPr>
      <w:r>
        <w:t xml:space="preserve">Each impact channel SHALL declare its applicable reference bounds</w:t>
      </w:r>
      <w:r>
        <w:t xml:space="preserve"> </w:t>
      </w:r>
      <w:r>
        <w:rPr>
          <w:b/>
          <w:bCs/>
        </w:rPr>
        <w:t xml:space="preserve">Bᵢ</w:t>
      </w:r>
      <w:r>
        <w:t xml:space="preserve">.</w:t>
      </w:r>
    </w:p>
    <w:p>
      <w:pPr>
        <w:pStyle w:val="BodyText"/>
      </w:pPr>
      <w:r>
        <w:t xml:space="preserve">Bounds MUST be:</w:t>
      </w:r>
    </w:p>
    <w:p>
      <w:pPr>
        <w:pStyle w:val="Compact"/>
        <w:numPr>
          <w:ilvl w:val="0"/>
          <w:numId w:val="1007"/>
        </w:numPr>
      </w:pPr>
      <w:r>
        <w:t xml:space="preserve">physically or informationally defined,</w:t>
      </w:r>
    </w:p>
    <w:p>
      <w:pPr>
        <w:pStyle w:val="Compact"/>
        <w:numPr>
          <w:ilvl w:val="0"/>
          <w:numId w:val="1007"/>
        </w:numPr>
      </w:pPr>
      <w:r>
        <w:t xml:space="preserve">immutable within this protocol,</w:t>
      </w:r>
    </w:p>
    <w:p>
      <w:pPr>
        <w:pStyle w:val="Compact"/>
        <w:numPr>
          <w:ilvl w:val="0"/>
          <w:numId w:val="1007"/>
        </w:numPr>
      </w:pPr>
      <w:r>
        <w:t xml:space="preserve">traceable to DKP-1-AXIOMS-001 or Physical Truth Layer indices.</w:t>
      </w:r>
    </w:p>
    <w:p>
      <w:pPr>
        <w:pStyle w:val="FirstParagraph"/>
      </w:pPr>
      <w:r>
        <w:t xml:space="preserve">The protocol SHALL detect:</w:t>
      </w:r>
    </w:p>
    <w:p>
      <w:pPr>
        <w:pStyle w:val="Compact"/>
        <w:numPr>
          <w:ilvl w:val="0"/>
          <w:numId w:val="1008"/>
        </w:numPr>
      </w:pPr>
      <w:r>
        <w:t xml:space="preserve">boundary approach,</w:t>
      </w:r>
    </w:p>
    <w:p>
      <w:pPr>
        <w:pStyle w:val="Compact"/>
        <w:numPr>
          <w:ilvl w:val="0"/>
          <w:numId w:val="1008"/>
        </w:numPr>
      </w:pPr>
      <w:r>
        <w:t xml:space="preserve">boundary crossing.</w:t>
      </w:r>
    </w:p>
    <w:p>
      <w:pPr>
        <w:pStyle w:val="FirstParagraph"/>
      </w:pPr>
      <w:r>
        <w:t xml:space="preserve">Bounds SHALL NOT be modified, normalized, or reinterpreted.</w:t>
      </w:r>
    </w:p>
    <w:p>
      <w:r>
        <w:pict>
          <v:rect style="width:0;height:1.5pt" o:hralign="center" o:hrstd="t" o:hr="t"/>
        </w:pict>
      </w:r>
    </w:p>
    <w:bookmarkEnd w:id="25"/>
    <w:bookmarkStart w:id="26" w:name="Xbcf5c0ebf18d30d7e1df839007de8f47aba2dab"/>
    <w:p>
      <w:pPr>
        <w:pStyle w:val="Heading3"/>
      </w:pPr>
      <w:r>
        <w:t xml:space="preserve">7. Reversibility Classification</w:t>
      </w:r>
    </w:p>
    <w:p>
      <w:pPr>
        <w:pStyle w:val="FirstParagraph"/>
      </w:pPr>
      <w:r>
        <w:t xml:space="preserve">For each impact channel, the protocol SHALL evaluate reversibility using formal criteria.</w:t>
      </w:r>
    </w:p>
    <w:p>
      <w:pPr>
        <w:pStyle w:val="BodyText"/>
      </w:pPr>
      <w:r>
        <w:t xml:space="preserve">Criteria MUST be:</w:t>
      </w:r>
    </w:p>
    <w:p>
      <w:pPr>
        <w:pStyle w:val="Compact"/>
        <w:numPr>
          <w:ilvl w:val="0"/>
          <w:numId w:val="1009"/>
        </w:numPr>
      </w:pPr>
      <w:r>
        <w:t xml:space="preserve">explicit,</w:t>
      </w:r>
    </w:p>
    <w:p>
      <w:pPr>
        <w:pStyle w:val="Compact"/>
        <w:numPr>
          <w:ilvl w:val="0"/>
          <w:numId w:val="1009"/>
        </w:numPr>
      </w:pPr>
      <w:r>
        <w:t xml:space="preserve">physically or informationally grounded,</w:t>
      </w:r>
    </w:p>
    <w:p>
      <w:pPr>
        <w:pStyle w:val="Compact"/>
        <w:numPr>
          <w:ilvl w:val="0"/>
          <w:numId w:val="1009"/>
        </w:numPr>
      </w:pPr>
      <w:r>
        <w:t xml:space="preserve">binary in output.</w:t>
      </w:r>
    </w:p>
    <w:p>
      <w:pPr>
        <w:pStyle w:val="FirstParagraph"/>
      </w:pPr>
      <w:r>
        <w:t xml:space="preserve">Illustrative criteria MAY include:</w:t>
      </w:r>
    </w:p>
    <w:p>
      <w:pPr>
        <w:numPr>
          <w:ilvl w:val="0"/>
          <w:numId w:val="1010"/>
        </w:numPr>
      </w:pPr>
      <w:r>
        <w:t xml:space="preserve">entropy increase beyond reversible regimes,</w:t>
      </w:r>
    </w:p>
    <w:p>
      <w:pPr>
        <w:numPr>
          <w:ilvl w:val="0"/>
          <w:numId w:val="1010"/>
        </w:numPr>
      </w:pPr>
      <w:r>
        <w:t xml:space="preserve">irrecoverable loss of biospheric structures,</w:t>
      </w:r>
    </w:p>
    <w:p>
      <w:pPr>
        <w:numPr>
          <w:ilvl w:val="0"/>
          <w:numId w:val="1010"/>
        </w:numPr>
      </w:pPr>
      <w:r>
        <w:t xml:space="preserve">irreversible phase transitions,</w:t>
      </w:r>
    </w:p>
    <w:p>
      <w:pPr>
        <w:numPr>
          <w:ilvl w:val="0"/>
          <w:numId w:val="1010"/>
        </w:numPr>
      </w:pPr>
      <w:r>
        <w:t xml:space="preserve">permanent loss of cognitive or cultural capacity</w:t>
      </w:r>
    </w:p>
    <w:p>
      <w:pPr>
        <w:numPr>
          <w:ilvl w:val="0"/>
          <w:numId w:val="1000"/>
        </w:numPr>
      </w:pPr>
      <w:r>
        <w:t xml:space="preserve">as verified via Physical Truth Layer data.</w:t>
      </w:r>
    </w:p>
    <w:p>
      <w:pPr>
        <w:pStyle w:val="FirstParagraph"/>
      </w:pPr>
      <w:r>
        <w:t xml:space="preserve">Subjective or intent-based assessments are forbidden.</w:t>
      </w:r>
    </w:p>
    <w:p>
      <w:r>
        <w:pict>
          <v:rect style="width:0;height:1.5pt" o:hralign="center" o:hrstd="t" o:hr="t"/>
        </w:pict>
      </w:r>
    </w:p>
    <w:bookmarkEnd w:id="26"/>
    <w:bookmarkStart w:id="27" w:name="X4f600d57e9ac642dd09ad0ec97b621c1b2c0f7f"/>
    <w:p>
      <w:pPr>
        <w:pStyle w:val="Heading3"/>
      </w:pPr>
      <w:r>
        <w:t xml:space="preserve">8. Externality Detection</w:t>
      </w:r>
    </w:p>
    <w:p>
      <w:pPr>
        <w:pStyle w:val="FirstParagraph"/>
      </w:pPr>
      <w:r>
        <w:t xml:space="preserve">The protocol SHALL distinguish between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System boundary SHALL default to</w:t>
      </w:r>
      <w:r>
        <w:t xml:space="preserve"> </w:t>
      </w:r>
      <w:r>
        <w:rPr>
          <w:b/>
          <w:bCs/>
        </w:rPr>
        <w:t xml:space="preserve">planetary scale</w:t>
      </w:r>
      <w:r>
        <w:t xml:space="preserve"> </w:t>
      </w:r>
      <w:r>
        <w:t xml:space="preserve">unless explicitly narrowed by higher-layer protocols.</w:t>
      </w:r>
    </w:p>
    <w:p>
      <w:pPr>
        <w:pStyle w:val="BodyText"/>
      </w:pPr>
      <w:r>
        <w:t xml:space="preserve">Any detected boundary crossing SHALL set</w:t>
      </w:r>
      <w:r>
        <w:t xml:space="preserve"> </w:t>
      </w:r>
      <w:r>
        <w:rPr>
          <w:b/>
          <w:bCs/>
        </w:rPr>
        <w:t xml:space="preserve">Xᵢ = True</w:t>
      </w:r>
      <w:r>
        <w:t xml:space="preserve">.</w:t>
      </w:r>
    </w:p>
    <w:p>
      <w:pPr>
        <w:pStyle w:val="BodyText"/>
      </w:pPr>
      <w:r>
        <w:t xml:space="preserve">Absence of an explicit boundary definition SHALL be treated as</w:t>
      </w:r>
      <w:r>
        <w:t xml:space="preserve"> </w:t>
      </w:r>
      <w:r>
        <w:rPr>
          <w:b/>
          <w:bCs/>
        </w:rPr>
        <w:t xml:space="preserve">full externality exposure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65d1aab46a8fb3d2b7aaae6805b8372b24df5b2"/>
    <w:p>
      <w:pPr>
        <w:pStyle w:val="Heading3"/>
      </w:pPr>
      <w:r>
        <w:t xml:space="preserve">9. Uncertainty Propagation</w:t>
      </w:r>
    </w:p>
    <w:p>
      <w:pPr>
        <w:pStyle w:val="FirstParagraph"/>
      </w:pPr>
      <w:r>
        <w:t xml:space="preserve">Measurement uncertainty from Physical Truth Layer inputs SHALL be propagated into each impact channel.</w:t>
      </w:r>
    </w:p>
    <w:p>
      <w:pPr>
        <w:pStyle w:val="BodyText"/>
      </w:pPr>
      <w:r>
        <w:t xml:space="preserve">Propagation SHALL be deterministic.</w:t>
      </w:r>
    </w:p>
    <w:p>
      <w:pPr>
        <w:pStyle w:val="BodyText"/>
      </w:pPr>
      <w:r>
        <w:t xml:space="preserve">Illustrative methods MAY include:</w:t>
      </w:r>
    </w:p>
    <w:p>
      <w:pPr>
        <w:pStyle w:val="Compact"/>
        <w:numPr>
          <w:ilvl w:val="0"/>
          <w:numId w:val="1011"/>
        </w:numPr>
      </w:pPr>
      <w:r>
        <w:t xml:space="preserve">Bayesian ensembles,</w:t>
      </w:r>
    </w:p>
    <w:p>
      <w:pPr>
        <w:pStyle w:val="Compact"/>
        <w:numPr>
          <w:ilvl w:val="0"/>
          <w:numId w:val="1011"/>
        </w:numPr>
      </w:pPr>
      <w:r>
        <w:t xml:space="preserve">posterior confidence bands (e.g., ±3σ).</w:t>
      </w:r>
    </w:p>
    <w:p>
      <w:pPr>
        <w:pStyle w:val="FirstParagraph"/>
      </w:pPr>
      <w:r>
        <w:t xml:space="preserve">Uncertainty SHALL NOT be used to suppress, downgrade, or invalidate detected impact.</w:t>
      </w:r>
    </w:p>
    <w:p>
      <w:r>
        <w:pict>
          <v:rect style="width:0;height:1.5pt" o:hralign="center" o:hrstd="t" o:hr="t"/>
        </w:pict>
      </w:r>
    </w:p>
    <w:bookmarkEnd w:id="28"/>
    <w:bookmarkStart w:id="29" w:name="X7b0a5f30329afba168336c94e8bf80464faa546"/>
    <w:p>
      <w:pPr>
        <w:pStyle w:val="Heading3"/>
      </w:pPr>
      <w:r>
        <w:t xml:space="preserve">10. Outputs</w:t>
      </w:r>
    </w:p>
    <w:p>
      <w:pPr>
        <w:pStyle w:val="FirstParagraph"/>
      </w:pPr>
      <w:r>
        <w:t xml:space="preserve">For each impact channel</w:t>
      </w:r>
      <w:r>
        <w:t xml:space="preserve"> </w:t>
      </w:r>
      <w:r>
        <w:rPr>
          <w:i/>
          <w:iCs/>
        </w:rPr>
        <w:t xml:space="preserve">i</w:t>
      </w:r>
      <w:r>
        <w:t xml:space="preserve">, the protocol outputs: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Iᵢ</w:t>
      </w:r>
      <w:r>
        <w:t xml:space="preserve"> </w:t>
      </w:r>
      <w:r>
        <w:t xml:space="preserve">— impact vector,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Bᵢ</w:t>
      </w:r>
      <w:r>
        <w:t xml:space="preserve"> </w:t>
      </w:r>
      <w:r>
        <w:t xml:space="preserve">— reference bound,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Rᵢ</w:t>
      </w:r>
      <w:r>
        <w:t xml:space="preserve"> </w:t>
      </w:r>
      <w:r>
        <w:t xml:space="preserve">— reversibility flag,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Xᵢ</w:t>
      </w:r>
      <w:r>
        <w:t xml:space="preserve"> </w:t>
      </w:r>
      <w:r>
        <w:t xml:space="preserve">— externality flag,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Uᵢ</w:t>
      </w:r>
      <w:r>
        <w:t xml:space="preserve"> </w:t>
      </w:r>
      <w:r>
        <w:t xml:space="preserve">— uncertainty envelope.</w:t>
      </w:r>
    </w:p>
    <w:p>
      <w:pPr>
        <w:pStyle w:val="FirstParagraph"/>
      </w:pPr>
      <w:r>
        <w:t xml:space="preserve">No aggregated impact score SHALL be produced.</w:t>
      </w:r>
    </w:p>
    <w:p>
      <w:r>
        <w:pict>
          <v:rect style="width:0;height:1.5pt" o:hralign="center" o:hrstd="t" o:hr="t"/>
        </w:pict>
      </w:r>
    </w:p>
    <w:bookmarkEnd w:id="29"/>
    <w:bookmarkStart w:id="30" w:name="Xf55a242c0aa7567078933caccde8c9b3f78bb08"/>
    <w:p>
      <w:pPr>
        <w:pStyle w:val="Heading3"/>
      </w:pPr>
      <w:r>
        <w:t xml:space="preserve">11. Cross-Layer Isolation Invariant</w:t>
      </w:r>
    </w:p>
    <w:p>
      <w:pPr>
        <w:pStyle w:val="FirstParagraph"/>
      </w:pPr>
      <w:r>
        <w:t xml:space="preserve">No higher-layer protocol may:</w:t>
      </w:r>
    </w:p>
    <w:p>
      <w:pPr>
        <w:pStyle w:val="Compact"/>
        <w:numPr>
          <w:ilvl w:val="0"/>
          <w:numId w:val="1013"/>
        </w:numPr>
      </w:pPr>
      <w:r>
        <w:t xml:space="preserve">alter reference bounds,</w:t>
      </w:r>
    </w:p>
    <w:p>
      <w:pPr>
        <w:pStyle w:val="Compact"/>
        <w:numPr>
          <w:ilvl w:val="0"/>
          <w:numId w:val="1013"/>
        </w:numPr>
      </w:pPr>
      <w:r>
        <w:t xml:space="preserve">suppress impact channels,</w:t>
      </w:r>
    </w:p>
    <w:p>
      <w:pPr>
        <w:pStyle w:val="Compact"/>
        <w:numPr>
          <w:ilvl w:val="0"/>
          <w:numId w:val="1013"/>
        </w:numPr>
      </w:pPr>
      <w:r>
        <w:t xml:space="preserve">override reversibility or externality flags,</w:t>
      </w:r>
    </w:p>
    <w:p>
      <w:pPr>
        <w:pStyle w:val="Compact"/>
        <w:numPr>
          <w:ilvl w:val="0"/>
          <w:numId w:val="1013"/>
        </w:numPr>
      </w:pPr>
      <w:r>
        <w:t xml:space="preserve">inject valuation, weighting, responsibility, or optimization logic.</w:t>
      </w:r>
    </w:p>
    <w:p>
      <w:pPr>
        <w:pStyle w:val="FirstParagraph"/>
      </w:pPr>
      <w:r>
        <w:t xml:space="preserve">Violation constitutes a</w:t>
      </w:r>
      <w:r>
        <w:t xml:space="preserve"> </w:t>
      </w:r>
      <w:r>
        <w:rPr>
          <w:b/>
          <w:bCs/>
        </w:rPr>
        <w:t xml:space="preserve">critical architectural breach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87aab60ce78f707a5f0cf3756112fba335cfedc"/>
    <w:p>
      <w:pPr>
        <w:pStyle w:val="Heading3"/>
      </w:pPr>
      <w:r>
        <w:t xml:space="preserve">12. Protocol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Any modification requires:</w:t>
      </w:r>
    </w:p>
    <w:p>
      <w:pPr>
        <w:pStyle w:val="Compact"/>
        <w:numPr>
          <w:ilvl w:val="0"/>
          <w:numId w:val="1014"/>
        </w:numPr>
      </w:pPr>
      <w:r>
        <w:t xml:space="preserve">a new protocol identifier,</w:t>
      </w:r>
    </w:p>
    <w:p>
      <w:pPr>
        <w:pStyle w:val="Compact"/>
        <w:numPr>
          <w:ilvl w:val="0"/>
          <w:numId w:val="1014"/>
        </w:numPr>
      </w:pPr>
      <w:r>
        <w:t xml:space="preserve">explicit declaration of incompatibility,</w:t>
      </w:r>
    </w:p>
    <w:p>
      <w:pPr>
        <w:pStyle w:val="Compact"/>
        <w:numPr>
          <w:ilvl w:val="0"/>
          <w:numId w:val="1014"/>
        </w:numPr>
      </w:pPr>
      <w:r>
        <w:t xml:space="preserve">full-system revalidation under DKP-8-SIMULATION.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r>
        <w:pict>
          <v:rect style="width:0;height:1.5pt" o:hralign="center" o:hrstd="t" o:hr="t"/>
        </w:pict>
      </w:r>
    </w:p>
    <w:bookmarkEnd w:id="31"/>
    <w:bookmarkStart w:id="33" w:name="X6647a99bad5f275777bc477955bce0803435612"/>
    <w:p>
      <w:pPr>
        <w:pStyle w:val="Heading3"/>
      </w:pPr>
      <w:r>
        <w:t xml:space="preserve">13. Illustrative Example (Non-Normative)</w:t>
      </w:r>
    </w:p>
    <w:p>
      <w:pPr>
        <w:pStyle w:val="FirstParagraph"/>
      </w:pPr>
      <w:r>
        <w:rPr>
          <w:b/>
          <w:bCs/>
        </w:rPr>
        <w:t xml:space="preserve">Input</w:t>
      </w:r>
    </w:p>
    <w:p>
      <w:pPr>
        <w:pStyle w:val="Compact"/>
        <w:numPr>
          <w:ilvl w:val="0"/>
          <w:numId w:val="1015"/>
        </w:numPr>
      </w:pPr>
      <w:r>
        <w:t xml:space="preserve">Channel: Atmospheric Composition</w:t>
      </w:r>
    </w:p>
    <w:p>
      <w:pPr>
        <w:pStyle w:val="Compact"/>
        <w:numPr>
          <w:ilvl w:val="0"/>
          <w:numId w:val="1015"/>
        </w:numPr>
      </w:pPr>
      <w:r>
        <w:t xml:space="preserve">S(t₀): CO₂ = 426.91 ppm</w:t>
      </w:r>
    </w:p>
    <w:p>
      <w:pPr>
        <w:pStyle w:val="Compact"/>
        <w:numPr>
          <w:ilvl w:val="0"/>
          <w:numId w:val="1015"/>
        </w:numPr>
      </w:pPr>
      <w:r>
        <w:t xml:space="preserve">S(t₁): CO₂ = 427.00 ppm</w:t>
      </w:r>
    </w:p>
    <w:p>
      <w:pPr>
        <w:pStyle w:val="Compact"/>
        <w:numPr>
          <w:ilvl w:val="0"/>
          <w:numId w:val="1015"/>
        </w:numPr>
      </w:pPr>
      <w:r>
        <w:t xml:space="preserve">Δt: 1 hour</w:t>
      </w:r>
    </w:p>
    <w:p>
      <w:pPr>
        <w:pStyle w:val="Compact"/>
        <w:numPr>
          <w:ilvl w:val="0"/>
          <w:numId w:val="1015"/>
        </w:numPr>
      </w:pPr>
      <w:r>
        <w:t xml:space="preserve">Bᵢ: 450 ppm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Compact"/>
        <w:numPr>
          <w:ilvl w:val="0"/>
          <w:numId w:val="1016"/>
        </w:numPr>
      </w:pPr>
      <w:r>
        <w:t xml:space="preserve">Iᵢ ≈ 0.004</w:t>
      </w:r>
    </w:p>
    <w:p>
      <w:pPr>
        <w:pStyle w:val="Compact"/>
        <w:numPr>
          <w:ilvl w:val="0"/>
          <w:numId w:val="1016"/>
        </w:numPr>
      </w:pPr>
      <w:r>
        <w:t xml:space="preserve">Rᵢ = False</w:t>
      </w:r>
    </w:p>
    <w:p>
      <w:pPr>
        <w:pStyle w:val="Compact"/>
        <w:numPr>
          <w:ilvl w:val="0"/>
          <w:numId w:val="1016"/>
        </w:numPr>
      </w:pPr>
      <w:r>
        <w:t xml:space="preserve">Xᵢ = False</w:t>
      </w:r>
    </w:p>
    <w:p>
      <w:pPr>
        <w:pStyle w:val="Compact"/>
        <w:numPr>
          <w:ilvl w:val="0"/>
          <w:numId w:val="1016"/>
        </w:numPr>
      </w:pPr>
      <w:r>
        <w:t xml:space="preserve">Uᵢ = ±0.01 ppm</w:t>
      </w:r>
    </w:p>
    <w:p>
      <w:pPr>
        <w:pStyle w:val="FirstParagraph"/>
      </w:pPr>
      <w:r>
        <w:t xml:space="preserve">This example is illustrative only and not normative.</w:t>
      </w:r>
    </w:p>
    <w:p>
      <w:r>
        <w:pict>
          <v:rect style="width:0;height:1.5pt" o:hralign="center" o:hrstd="t" o:hr="t"/>
        </w:pict>
      </w:r>
    </w:p>
    <w:bookmarkStart w:id="32" w:name="end-of-protocol"/>
    <w:p>
      <w:pPr>
        <w:pStyle w:val="Heading4"/>
      </w:pPr>
      <w:r>
        <w:t xml:space="preserve">END OF PROTOCOL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2026-10-04T10:23:46Z</dcterms:created>
  <dcterms:modified xsi:type="dcterms:W3CDTF">2026-10-04T10:23:46Z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