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kp-1-justice-001"/>
    <w:p>
      <w:pPr>
        <w:pStyle w:val="Heading1"/>
      </w:pPr>
      <w:r>
        <w:t xml:space="preserve">DKP-1-JUSTICE-001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justice-function-protocol-δίκη"/>
    <w:p>
      <w:pPr>
        <w:pStyle w:val="Heading3"/>
      </w:pPr>
      <w:r>
        <w:t xml:space="preserve">Justice Function Protocol (δίκη)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Justice Function Protocol defines how measured impact and attributed responsibility are transformed into deterministic justice outcomes within the Dikenocracy system.</w:t>
      </w:r>
    </w:p>
    <w:p>
      <w:pPr>
        <w:pStyle w:val="BodyText"/>
      </w:pPr>
      <w:r>
        <w:t xml:space="preserve">Justice is defined here as a function, not an institution, authority, ideology, or moral judgment.</w:t>
      </w:r>
    </w:p>
    <w:p>
      <w:pPr>
        <w:pStyle w:val="BodyText"/>
      </w:pPr>
      <w:r>
        <w:t xml:space="preserve">This protocol computes consequences, not punishment. It produces binding justice outputs, not discretionary decisions.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This protocol operates:</w:t>
      </w:r>
    </w:p>
    <w:p>
      <w:pPr>
        <w:pStyle w:val="Compact"/>
        <w:numPr>
          <w:ilvl w:val="0"/>
          <w:numId w:val="1001"/>
        </w:numPr>
      </w:pPr>
      <w:r>
        <w:t xml:space="preserve">above DKP-1-IMPACT-001 (Impact Measurement Protocol),</w:t>
      </w:r>
    </w:p>
    <w:p>
      <w:pPr>
        <w:pStyle w:val="Compact"/>
        <w:numPr>
          <w:ilvl w:val="0"/>
          <w:numId w:val="1001"/>
        </w:numPr>
      </w:pPr>
      <w:r>
        <w:t xml:space="preserve">above DKP-1-IDENTITY-001 (Identity &amp; Subject Protocol),</w:t>
      </w:r>
    </w:p>
    <w:p>
      <w:pPr>
        <w:pStyle w:val="Compact"/>
        <w:numPr>
          <w:ilvl w:val="0"/>
          <w:numId w:val="1001"/>
        </w:numPr>
      </w:pPr>
      <w:r>
        <w:t xml:space="preserve">below all economic, governance, security, and enforcement protocols.</w:t>
      </w:r>
    </w:p>
    <w:p>
      <w:pPr>
        <w:pStyle w:val="FirstParagraph"/>
      </w:pPr>
      <w:r>
        <w:t xml:space="preserve">This protocol SHALL NOT access raw Physical Truth Layer data directly.</w:t>
      </w:r>
    </w:p>
    <w:p>
      <w:pPr>
        <w:pStyle w:val="BodyText"/>
      </w:pPr>
      <w:r>
        <w:t xml:space="preserve">All inputs MUST be imported exclusively from:</w:t>
      </w:r>
    </w:p>
    <w:p>
      <w:pPr>
        <w:pStyle w:val="Compact"/>
        <w:numPr>
          <w:ilvl w:val="0"/>
          <w:numId w:val="1002"/>
        </w:numPr>
      </w:pPr>
      <w:r>
        <w:t xml:space="preserve">DKP-1-IMPACT-001 outputs, and</w:t>
      </w:r>
    </w:p>
    <w:p>
      <w:pPr>
        <w:pStyle w:val="Compact"/>
        <w:numPr>
          <w:ilvl w:val="0"/>
          <w:numId w:val="1002"/>
        </w:numPr>
      </w:pPr>
      <w:r>
        <w:t xml:space="preserve">DKP-1-IDENTITY-001 attribution bindings.</w:t>
      </w:r>
    </w:p>
    <w:p>
      <w:r>
        <w:pict>
          <v:rect style="width:0;height:1.5pt" o:hralign="center" o:hrstd="t" o:hr="t"/>
        </w:pict>
      </w:r>
    </w:p>
    <w:bookmarkEnd w:id="11"/>
    <w:bookmarkStart w:id="15" w:name="Xc3b0f9141a31dcdfdf35e50669bccb66944098a"/>
    <w:p>
      <w:pPr>
        <w:pStyle w:val="Heading3"/>
      </w:pPr>
      <w:r>
        <w:t xml:space="preserve">3. Core Inputs</w:t>
      </w:r>
    </w:p>
    <w:p>
      <w:pPr>
        <w:pStyle w:val="FirstParagraph"/>
      </w:pPr>
      <w:r>
        <w:t xml:space="preserve">For each evaluated action instance A, the protocol receives:</w:t>
      </w:r>
    </w:p>
    <w:bookmarkStart w:id="12" w:name="Xa3397e3db88f42cf352e31efd46661a3a4675bc"/>
    <w:p>
      <w:pPr>
        <w:pStyle w:val="Heading4"/>
      </w:pPr>
      <w:r>
        <w:t xml:space="preserve">3.1 Impact Set</w:t>
      </w:r>
    </w:p>
    <w:p>
      <w:pPr>
        <w:pStyle w:val="FirstParagraph"/>
      </w:pPr>
      <w:r>
        <w:t xml:space="preserve">A channel-separated, unaggregated set of impact outputs produced by DKP-1-IMPACT-001:</w:t>
      </w:r>
    </w:p>
    <w:p>
      <w:pPr>
        <w:pStyle w:val="Compact"/>
        <w:numPr>
          <w:ilvl w:val="0"/>
          <w:numId w:val="1003"/>
        </w:numPr>
      </w:pPr>
      <w:r>
        <w:t xml:space="preserve">Iᵢ — impact magnitude per channel,</w:t>
      </w:r>
    </w:p>
    <w:p>
      <w:pPr>
        <w:pStyle w:val="Compact"/>
        <w:numPr>
          <w:ilvl w:val="0"/>
          <w:numId w:val="1003"/>
        </w:numPr>
      </w:pPr>
      <w:r>
        <w:t xml:space="preserve">Bᵢ — reference bounds,</w:t>
      </w:r>
    </w:p>
    <w:p>
      <w:pPr>
        <w:pStyle w:val="Compact"/>
        <w:numPr>
          <w:ilvl w:val="0"/>
          <w:numId w:val="1003"/>
        </w:numPr>
      </w:pPr>
      <w:r>
        <w:t xml:space="preserve">Rᵢ — reversibility flags,</w:t>
      </w:r>
    </w:p>
    <w:p>
      <w:pPr>
        <w:pStyle w:val="Compact"/>
        <w:numPr>
          <w:ilvl w:val="0"/>
          <w:numId w:val="1003"/>
        </w:numPr>
      </w:pPr>
      <w:r>
        <w:t xml:space="preserve">Xᵢ — externality flags,</w:t>
      </w:r>
    </w:p>
    <w:p>
      <w:pPr>
        <w:pStyle w:val="Compact"/>
        <w:numPr>
          <w:ilvl w:val="0"/>
          <w:numId w:val="1003"/>
        </w:numPr>
      </w:pPr>
      <w:r>
        <w:t xml:space="preserve">Uᵢ — uncertainty envelopes.</w:t>
      </w:r>
    </w:p>
    <w:p>
      <w:r>
        <w:pict>
          <v:rect style="width:0;height:1.5pt" o:hralign="center" o:hrstd="t" o:hr="t"/>
        </w:pict>
      </w:r>
    </w:p>
    <w:bookmarkEnd w:id="12"/>
    <w:bookmarkStart w:id="13" w:name="X9452665aa842d57b26a80c0192800db6869fef7"/>
    <w:p>
      <w:pPr>
        <w:pStyle w:val="Heading4"/>
      </w:pPr>
      <w:r>
        <w:t xml:space="preserve">3.2 Responsibility Binding</w:t>
      </w:r>
    </w:p>
    <w:p>
      <w:pPr>
        <w:pStyle w:val="FirstParagraph"/>
      </w:pPr>
      <w:r>
        <w:t xml:space="preserve">From DKP-1-IDENTITY-001:</w:t>
      </w:r>
    </w:p>
    <w:p>
      <w:pPr>
        <w:pStyle w:val="Compact"/>
        <w:numPr>
          <w:ilvl w:val="0"/>
          <w:numId w:val="1004"/>
        </w:numPr>
      </w:pPr>
      <w:r>
        <w:t xml:space="preserve">identified Subject(s),</w:t>
      </w:r>
    </w:p>
    <w:p>
      <w:pPr>
        <w:pStyle w:val="Compact"/>
        <w:numPr>
          <w:ilvl w:val="0"/>
          <w:numId w:val="1004"/>
        </w:numPr>
      </w:pPr>
      <w:r>
        <w:t xml:space="preserve">responsibility weights per Subject,</w:t>
      </w:r>
    </w:p>
    <w:p>
      <w:pPr>
        <w:pStyle w:val="Compact"/>
        <w:numPr>
          <w:ilvl w:val="0"/>
          <w:numId w:val="1004"/>
        </w:numPr>
      </w:pPr>
      <w:r>
        <w:t xml:space="preserve">temporal persistence indicators,</w:t>
      </w:r>
    </w:p>
    <w:p>
      <w:pPr>
        <w:pStyle w:val="Compact"/>
        <w:numPr>
          <w:ilvl w:val="0"/>
          <w:numId w:val="1004"/>
        </w:numPr>
      </w:pPr>
      <w:r>
        <w:t xml:space="preserve">cascading and higher-order attribution flags.</w:t>
      </w:r>
    </w:p>
    <w:p>
      <w:r>
        <w:pict>
          <v:rect style="width:0;height:1.5pt" o:hralign="center" o:hrstd="t" o:hr="t"/>
        </w:pict>
      </w:r>
    </w:p>
    <w:bookmarkEnd w:id="13"/>
    <w:bookmarkStart w:id="14" w:name="X25e6ea2c7007de2ddcd82e8ccb79da2e08823af"/>
    <w:p>
      <w:pPr>
        <w:pStyle w:val="Heading4"/>
      </w:pPr>
      <w:r>
        <w:t xml:space="preserve">3.3 Normative Constraints</w:t>
      </w:r>
    </w:p>
    <w:p>
      <w:pPr>
        <w:pStyle w:val="FirstParagraph"/>
      </w:pPr>
      <w:r>
        <w:t xml:space="preserve">From DKP-1-AXIOMS-001:</w:t>
      </w:r>
    </w:p>
    <w:p>
      <w:pPr>
        <w:pStyle w:val="Compact"/>
        <w:numPr>
          <w:ilvl w:val="0"/>
          <w:numId w:val="1005"/>
        </w:numPr>
      </w:pPr>
      <w:r>
        <w:t xml:space="preserve">priority ordering of protected domains,</w:t>
      </w:r>
    </w:p>
    <w:p>
      <w:pPr>
        <w:pStyle w:val="Compact"/>
        <w:numPr>
          <w:ilvl w:val="0"/>
          <w:numId w:val="1005"/>
        </w:numPr>
      </w:pPr>
      <w:r>
        <w:t xml:space="preserve">absolute prohibitions,</w:t>
      </w:r>
    </w:p>
    <w:p>
      <w:pPr>
        <w:pStyle w:val="Compact"/>
        <w:numPr>
          <w:ilvl w:val="0"/>
          <w:numId w:val="1005"/>
        </w:numPr>
      </w:pPr>
      <w:r>
        <w:t xml:space="preserve">minimum survival and stability thresholds,</w:t>
      </w:r>
    </w:p>
    <w:p>
      <w:pPr>
        <w:pStyle w:val="Compact"/>
        <w:numPr>
          <w:ilvl w:val="0"/>
          <w:numId w:val="1005"/>
        </w:numPr>
      </w:pPr>
      <w:r>
        <w:t xml:space="preserve">non-negotiable axiom-defined bounds.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82eacf60f08b230d7e1889ddc8c5e759df9b167"/>
    <w:p>
      <w:pPr>
        <w:pStyle w:val="Heading3"/>
      </w:pPr>
      <w:r>
        <w:t xml:space="preserve">4. Justice Definition</w:t>
      </w:r>
    </w:p>
    <w:p>
      <w:pPr>
        <w:pStyle w:val="FirstParagraph"/>
      </w:pPr>
      <w:r>
        <w:t xml:space="preserve">Justice (δίκη) is defined as a deterministic mapping:</w:t>
      </w:r>
    </w:p>
    <w:p>
      <w:pPr>
        <w:pStyle w:val="BodyText"/>
      </w:pPr>
      <w:r>
        <w:rPr>
          <w:rStyle w:val="VerbatimChar"/>
        </w:rPr>
        <w:t xml:space="preserve">δίκη : (Impact, Responsibility, Axioms) → Consequence Vector C</w:t>
      </w:r>
    </w:p>
    <w:p>
      <w:pPr>
        <w:pStyle w:val="BodyText"/>
      </w:pPr>
      <w:r>
        <w:t xml:space="preserve">The output vector C SHALL contain no:</w:t>
      </w:r>
    </w:p>
    <w:p>
      <w:pPr>
        <w:pStyle w:val="Compact"/>
        <w:numPr>
          <w:ilvl w:val="0"/>
          <w:numId w:val="1006"/>
        </w:numPr>
      </w:pPr>
      <w:r>
        <w:t xml:space="preserve">moral language,</w:t>
      </w:r>
    </w:p>
    <w:p>
      <w:pPr>
        <w:pStyle w:val="Compact"/>
        <w:numPr>
          <w:ilvl w:val="0"/>
          <w:numId w:val="1006"/>
        </w:numPr>
      </w:pPr>
      <w:r>
        <w:t xml:space="preserve">intent interpretation,</w:t>
      </w:r>
    </w:p>
    <w:p>
      <w:pPr>
        <w:pStyle w:val="Compact"/>
        <w:numPr>
          <w:ilvl w:val="0"/>
          <w:numId w:val="1006"/>
        </w:numPr>
      </w:pPr>
      <w:r>
        <w:t xml:space="preserve">discretionary adjustment,</w:t>
      </w:r>
    </w:p>
    <w:p>
      <w:pPr>
        <w:pStyle w:val="Compact"/>
        <w:numPr>
          <w:ilvl w:val="0"/>
          <w:numId w:val="1006"/>
        </w:numPr>
      </w:pPr>
      <w:r>
        <w:t xml:space="preserve">subjective weighting.</w:t>
      </w:r>
    </w:p>
    <w:p>
      <w:pPr>
        <w:pStyle w:val="FirstParagraph"/>
      </w:pPr>
      <w:r>
        <w:t xml:space="preserve">Justice outcomes are computed, not interpreted.</w:t>
      </w:r>
    </w:p>
    <w:p>
      <w:r>
        <w:pict>
          <v:rect style="width:0;height:1.5pt" o:hralign="center" o:hrstd="t" o:hr="t"/>
        </w:pict>
      </w:r>
    </w:p>
    <w:bookmarkEnd w:id="16"/>
    <w:bookmarkStart w:id="17" w:name="X84371d3b3b45191f949b43475dd43911dda17e8"/>
    <w:p>
      <w:pPr>
        <w:pStyle w:val="Heading3"/>
      </w:pPr>
      <w:r>
        <w:t xml:space="preserve">5. Justice Evaluation Domains</w:t>
      </w:r>
    </w:p>
    <w:p>
      <w:pPr>
        <w:pStyle w:val="FirstParagraph"/>
      </w:pPr>
      <w:r>
        <w:t xml:space="preserve">Justice SHALL be evaluated independently across the following domains:</w:t>
      </w:r>
    </w:p>
    <w:p>
      <w:pPr>
        <w:pStyle w:val="Compact"/>
        <w:numPr>
          <w:ilvl w:val="0"/>
          <w:numId w:val="1007"/>
        </w:numPr>
      </w:pPr>
      <w:r>
        <w:t xml:space="preserve">Restitution Domain</w:t>
      </w:r>
    </w:p>
    <w:p>
      <w:pPr>
        <w:pStyle w:val="Compact"/>
        <w:numPr>
          <w:ilvl w:val="0"/>
          <w:numId w:val="1007"/>
        </w:numPr>
      </w:pPr>
      <w:r>
        <w:t xml:space="preserve">Restriction Domain</w:t>
      </w:r>
    </w:p>
    <w:p>
      <w:pPr>
        <w:pStyle w:val="Compact"/>
        <w:numPr>
          <w:ilvl w:val="0"/>
          <w:numId w:val="1007"/>
        </w:numPr>
      </w:pPr>
      <w:r>
        <w:t xml:space="preserve">Isolation Domain</w:t>
      </w:r>
    </w:p>
    <w:p>
      <w:pPr>
        <w:pStyle w:val="Compact"/>
        <w:numPr>
          <w:ilvl w:val="0"/>
          <w:numId w:val="1007"/>
        </w:numPr>
      </w:pPr>
      <w:r>
        <w:t xml:space="preserve">Exclusion Domain</w:t>
      </w:r>
    </w:p>
    <w:p>
      <w:pPr>
        <w:pStyle w:val="FirstParagraph"/>
      </w:pPr>
      <w:r>
        <w:t xml:space="preserve">No domain SHALL be skipped if its triggering conditions are met.</w:t>
      </w:r>
    </w:p>
    <w:p>
      <w:r>
        <w:pict>
          <v:rect style="width:0;height:1.5pt" o:hralign="center" o:hrstd="t" o:hr="t"/>
        </w:pict>
      </w:r>
    </w:p>
    <w:bookmarkEnd w:id="17"/>
    <w:bookmarkStart w:id="18" w:name="Xe9e534a7bf2ffdf397f548fa2e4e78dde4e8b09"/>
    <w:p>
      <w:pPr>
        <w:pStyle w:val="Heading3"/>
      </w:pPr>
      <w:r>
        <w:t xml:space="preserve">6. Restitution Domain</w:t>
      </w:r>
    </w:p>
    <w:p>
      <w:pPr>
        <w:pStyle w:val="FirstParagraph"/>
      </w:pPr>
      <w:r>
        <w:t xml:space="preserve">Restitution applies when:</w:t>
      </w:r>
    </w:p>
    <w:p>
      <w:pPr>
        <w:pStyle w:val="Compact"/>
        <w:numPr>
          <w:ilvl w:val="0"/>
          <w:numId w:val="1008"/>
        </w:numPr>
      </w:pPr>
      <w:r>
        <w:t xml:space="preserve">impact is reversible (Rᵢ = True), and</w:t>
      </w:r>
    </w:p>
    <w:p>
      <w:pPr>
        <w:pStyle w:val="Compact"/>
        <w:numPr>
          <w:ilvl w:val="0"/>
          <w:numId w:val="1008"/>
        </w:numPr>
      </w:pPr>
      <w:r>
        <w:t xml:space="preserve">mitigation or repair is physically possible.</w:t>
      </w:r>
    </w:p>
    <w:p>
      <w:pPr>
        <w:pStyle w:val="FirstParagraph"/>
      </w:pPr>
      <w:r>
        <w:t xml:space="preserve">The protocol SHALL compute:</w:t>
      </w:r>
    </w:p>
    <w:p>
      <w:pPr>
        <w:pStyle w:val="Compact"/>
        <w:numPr>
          <w:ilvl w:val="0"/>
          <w:numId w:val="1009"/>
        </w:numPr>
      </w:pPr>
      <w:r>
        <w:t xml:space="preserve">required mitigation scope,</w:t>
      </w:r>
    </w:p>
    <w:p>
      <w:pPr>
        <w:pStyle w:val="Compact"/>
        <w:numPr>
          <w:ilvl w:val="0"/>
          <w:numId w:val="1009"/>
        </w:numPr>
      </w:pPr>
      <w:r>
        <w:t xml:space="preserve">proportional restitution obligations per Subject,</w:t>
      </w:r>
    </w:p>
    <w:p>
      <w:pPr>
        <w:pStyle w:val="Compact"/>
        <w:numPr>
          <w:ilvl w:val="0"/>
          <w:numId w:val="1009"/>
        </w:numPr>
      </w:pPr>
      <w:r>
        <w:t xml:space="preserve">time constraints for restitution completion.</w:t>
      </w:r>
    </w:p>
    <w:p>
      <w:pPr>
        <w:pStyle w:val="FirstParagraph"/>
      </w:pPr>
      <w:r>
        <w:t xml:space="preserve">Restitution SHALL NOT exceed the measurable impact.</w:t>
      </w:r>
    </w:p>
    <w:p>
      <w:r>
        <w:pict>
          <v:rect style="width:0;height:1.5pt" o:hralign="center" o:hrstd="t" o:hr="t"/>
        </w:pict>
      </w:r>
    </w:p>
    <w:bookmarkEnd w:id="18"/>
    <w:bookmarkStart w:id="19" w:name="Xa0a301d9b444755efea15135939b70e229d56e5"/>
    <w:p>
      <w:pPr>
        <w:pStyle w:val="Heading3"/>
      </w:pPr>
      <w:r>
        <w:t xml:space="preserve">7. Restriction Domain</w:t>
      </w:r>
    </w:p>
    <w:p>
      <w:pPr>
        <w:pStyle w:val="FirstParagraph"/>
      </w:pPr>
      <w:r>
        <w:t xml:space="preserve">Restriction applies when:</w:t>
      </w:r>
    </w:p>
    <w:p>
      <w:pPr>
        <w:pStyle w:val="Compact"/>
        <w:numPr>
          <w:ilvl w:val="0"/>
          <w:numId w:val="1010"/>
        </w:numPr>
      </w:pPr>
      <w:r>
        <w:t xml:space="preserve">impact exceeds axiom-defined safe margins, or</w:t>
      </w:r>
    </w:p>
    <w:p>
      <w:pPr>
        <w:pStyle w:val="Compact"/>
        <w:numPr>
          <w:ilvl w:val="0"/>
          <w:numId w:val="1010"/>
        </w:numPr>
      </w:pPr>
      <w:r>
        <w:t xml:space="preserve">repeated harmful behavior is detected, or</w:t>
      </w:r>
    </w:p>
    <w:p>
      <w:pPr>
        <w:pStyle w:val="Compact"/>
        <w:numPr>
          <w:ilvl w:val="0"/>
          <w:numId w:val="1010"/>
        </w:numPr>
      </w:pPr>
      <w:r>
        <w:t xml:space="preserve">mitigation capacity is insufficient.</w:t>
      </w:r>
    </w:p>
    <w:p>
      <w:pPr>
        <w:pStyle w:val="FirstParagraph"/>
      </w:pPr>
      <w:r>
        <w:t xml:space="preserve">Restrictions MAY include:</w:t>
      </w:r>
    </w:p>
    <w:p>
      <w:pPr>
        <w:pStyle w:val="Compact"/>
        <w:numPr>
          <w:ilvl w:val="0"/>
          <w:numId w:val="1011"/>
        </w:numPr>
      </w:pPr>
      <w:r>
        <w:t xml:space="preserve">limitation of action scope,</w:t>
      </w:r>
    </w:p>
    <w:p>
      <w:pPr>
        <w:pStyle w:val="Compact"/>
        <w:numPr>
          <w:ilvl w:val="0"/>
          <w:numId w:val="1011"/>
        </w:numPr>
      </w:pPr>
      <w:r>
        <w:t xml:space="preserve">throttling of resource access,</w:t>
      </w:r>
    </w:p>
    <w:p>
      <w:pPr>
        <w:pStyle w:val="Compact"/>
        <w:numPr>
          <w:ilvl w:val="0"/>
          <w:numId w:val="1011"/>
        </w:numPr>
      </w:pPr>
      <w:r>
        <w:t xml:space="preserve">enforced participation constraints.</w:t>
      </w:r>
    </w:p>
    <w:p>
      <w:pPr>
        <w:pStyle w:val="FirstParagraph"/>
      </w:pPr>
      <w:r>
        <w:t xml:space="preserve">Restrictions MUST be:</w:t>
      </w:r>
    </w:p>
    <w:p>
      <w:pPr>
        <w:pStyle w:val="Compact"/>
        <w:numPr>
          <w:ilvl w:val="0"/>
          <w:numId w:val="1012"/>
        </w:numPr>
      </w:pPr>
      <w:r>
        <w:t xml:space="preserve">proportional,</w:t>
      </w:r>
    </w:p>
    <w:p>
      <w:pPr>
        <w:pStyle w:val="Compact"/>
        <w:numPr>
          <w:ilvl w:val="0"/>
          <w:numId w:val="1012"/>
        </w:numPr>
      </w:pPr>
      <w:r>
        <w:t xml:space="preserve">reversible where physically possible,</w:t>
      </w:r>
    </w:p>
    <w:p>
      <w:pPr>
        <w:pStyle w:val="Compact"/>
        <w:numPr>
          <w:ilvl w:val="0"/>
          <w:numId w:val="1012"/>
        </w:numPr>
      </w:pPr>
      <w:r>
        <w:t xml:space="preserve">continuously re-evaluated.</w:t>
      </w:r>
    </w:p>
    <w:p>
      <w:pPr>
        <w:pStyle w:val="FirstParagraph"/>
      </w:pPr>
      <w:r>
        <w:t xml:space="preserve">Restrictions SHALL NOT be used as punitive measures and SHALL exist solely to prevent further harm.</w:t>
      </w:r>
    </w:p>
    <w:p>
      <w:r>
        <w:pict>
          <v:rect style="width:0;height:1.5pt" o:hralign="center" o:hrstd="t" o:hr="t"/>
        </w:pict>
      </w:r>
    </w:p>
    <w:bookmarkEnd w:id="19"/>
    <w:bookmarkStart w:id="20" w:name="X431d27187cb3cda2548cf37884daf66e45d123a"/>
    <w:p>
      <w:pPr>
        <w:pStyle w:val="Heading3"/>
      </w:pPr>
      <w:r>
        <w:t xml:space="preserve">8. Isolation Domain</w:t>
      </w:r>
    </w:p>
    <w:p>
      <w:pPr>
        <w:pStyle w:val="FirstParagraph"/>
      </w:pPr>
      <w:r>
        <w:t xml:space="preserve">Isolation applies when:</w:t>
      </w:r>
    </w:p>
    <w:p>
      <w:pPr>
        <w:pStyle w:val="Compact"/>
        <w:numPr>
          <w:ilvl w:val="0"/>
          <w:numId w:val="1013"/>
        </w:numPr>
      </w:pPr>
      <w:r>
        <w:t xml:space="preserve">impact is irreversible (Rᵢ = False), or</w:t>
      </w:r>
    </w:p>
    <w:p>
      <w:pPr>
        <w:pStyle w:val="Compact"/>
        <w:numPr>
          <w:ilvl w:val="0"/>
          <w:numId w:val="1013"/>
        </w:numPr>
      </w:pPr>
      <w:r>
        <w:t xml:space="preserve">externality exposure is critical (Xᵢ = True), or</w:t>
      </w:r>
    </w:p>
    <w:p>
      <w:pPr>
        <w:pStyle w:val="Compact"/>
        <w:numPr>
          <w:ilvl w:val="0"/>
          <w:numId w:val="1013"/>
        </w:numPr>
      </w:pPr>
      <w:r>
        <w:t xml:space="preserve">Subject behavior presents systemic risk.</w:t>
      </w:r>
    </w:p>
    <w:p>
      <w:pPr>
        <w:pStyle w:val="FirstParagraph"/>
      </w:pPr>
      <w:r>
        <w:t xml:space="preserve">Isolation SHALL be:</w:t>
      </w:r>
    </w:p>
    <w:p>
      <w:pPr>
        <w:pStyle w:val="Compact"/>
        <w:numPr>
          <w:ilvl w:val="0"/>
          <w:numId w:val="1014"/>
        </w:numPr>
      </w:pPr>
      <w:r>
        <w:t xml:space="preserve">functional, not punitive,</w:t>
      </w:r>
    </w:p>
    <w:p>
      <w:pPr>
        <w:pStyle w:val="Compact"/>
        <w:numPr>
          <w:ilvl w:val="0"/>
          <w:numId w:val="1014"/>
        </w:numPr>
      </w:pPr>
      <w:r>
        <w:t xml:space="preserve">targeted strictly at harm prevention,</w:t>
      </w:r>
    </w:p>
    <w:p>
      <w:pPr>
        <w:pStyle w:val="Compact"/>
        <w:numPr>
          <w:ilvl w:val="0"/>
          <w:numId w:val="1014"/>
        </w:numPr>
      </w:pPr>
      <w:r>
        <w:t xml:space="preserve">minimal in scope.</w:t>
      </w:r>
    </w:p>
    <w:p>
      <w:pPr>
        <w:pStyle w:val="FirstParagraph"/>
      </w:pPr>
      <w:r>
        <w:t xml:space="preserve">Physical isolation SHALL be treated as a last-resort measure.</w:t>
      </w:r>
    </w:p>
    <w:p>
      <w:pPr>
        <w:pStyle w:val="BodyText"/>
      </w:pPr>
      <w:r>
        <w:t xml:space="preserve">Isolation SHALL prioritize functional separation over physical confinement whenever technically feasible.</w:t>
      </w:r>
    </w:p>
    <w:p>
      <w:r>
        <w:pict>
          <v:rect style="width:0;height:1.5pt" o:hralign="center" o:hrstd="t" o:hr="t"/>
        </w:pict>
      </w:r>
    </w:p>
    <w:bookmarkEnd w:id="20"/>
    <w:bookmarkStart w:id="21" w:name="Xc25dcf0caa107f7c72e0834c2a32767337ebdd0"/>
    <w:p>
      <w:pPr>
        <w:pStyle w:val="Heading3"/>
      </w:pPr>
      <w:r>
        <w:t xml:space="preserve">9. Exclusion Domain</w:t>
      </w:r>
    </w:p>
    <w:p>
      <w:pPr>
        <w:pStyle w:val="FirstParagraph"/>
      </w:pPr>
      <w:r>
        <w:t xml:space="preserve">Exclusion applies when:</w:t>
      </w:r>
    </w:p>
    <w:p>
      <w:pPr>
        <w:pStyle w:val="Compact"/>
        <w:numPr>
          <w:ilvl w:val="0"/>
          <w:numId w:val="1015"/>
        </w:numPr>
      </w:pPr>
      <w:r>
        <w:t xml:space="preserve">a Subject persistently violates non-negotiable axioms, or</w:t>
      </w:r>
    </w:p>
    <w:p>
      <w:pPr>
        <w:pStyle w:val="Compact"/>
        <w:numPr>
          <w:ilvl w:val="0"/>
          <w:numId w:val="1015"/>
        </w:numPr>
      </w:pPr>
      <w:r>
        <w:t xml:space="preserve">mitigation and isolation fail to contain harm, or</w:t>
      </w:r>
    </w:p>
    <w:p>
      <w:pPr>
        <w:pStyle w:val="Compact"/>
        <w:numPr>
          <w:ilvl w:val="0"/>
          <w:numId w:val="1015"/>
        </w:numPr>
      </w:pPr>
      <w:r>
        <w:t xml:space="preserve">the Subject refuses or is incapable of compliance.</w:t>
      </w:r>
    </w:p>
    <w:p>
      <w:pPr>
        <w:pStyle w:val="FirstParagraph"/>
      </w:pPr>
      <w:r>
        <w:t xml:space="preserve">Exclusion SHALL result in:</w:t>
      </w:r>
    </w:p>
    <w:p>
      <w:pPr>
        <w:pStyle w:val="Compact"/>
        <w:numPr>
          <w:ilvl w:val="0"/>
          <w:numId w:val="1016"/>
        </w:numPr>
      </w:pPr>
      <w:r>
        <w:t xml:space="preserve">removal from system participation,</w:t>
      </w:r>
    </w:p>
    <w:p>
      <w:pPr>
        <w:pStyle w:val="Compact"/>
        <w:numPr>
          <w:ilvl w:val="0"/>
          <w:numId w:val="1016"/>
        </w:numPr>
      </w:pPr>
      <w:r>
        <w:t xml:space="preserve">loss of system-provided privileges,</w:t>
      </w:r>
    </w:p>
    <w:p>
      <w:pPr>
        <w:pStyle w:val="Compact"/>
        <w:numPr>
          <w:ilvl w:val="0"/>
          <w:numId w:val="1016"/>
        </w:numPr>
      </w:pPr>
      <w:r>
        <w:t xml:space="preserve">persistence of historical attribution.</w:t>
      </w:r>
    </w:p>
    <w:p>
      <w:pPr>
        <w:pStyle w:val="FirstParagraph"/>
      </w:pPr>
      <w:r>
        <w:t xml:space="preserve">Exclusion SHALL NOT entail physical harm, lethal deprivation, or conditions leading to loss of life.</w:t>
      </w:r>
    </w:p>
    <w:p>
      <w:pPr>
        <w:pStyle w:val="BodyText"/>
      </w:pPr>
      <w:r>
        <w:t xml:space="preserve">All exclusion outcomes MUST remain consistent with Axiom A1 (Preservation of Life) as defined in DKP-1-AXIOMS-001.</w:t>
      </w:r>
    </w:p>
    <w:p>
      <w:pPr>
        <w:pStyle w:val="BodyText"/>
      </w:pPr>
      <w:r>
        <w:t xml:space="preserve">Exclusion terminates system participation and access to system-provided privileges only. It SHALL NOT authorize annihilation, abandonment, or indirect lethal exposure.</w:t>
      </w:r>
    </w:p>
    <w:p>
      <w:pPr>
        <w:pStyle w:val="BodyText"/>
      </w:pPr>
      <w:r>
        <w:t xml:space="preserve">Exclusion is not annihilation and does not imply moral condemnation.</w:t>
      </w:r>
    </w:p>
    <w:p>
      <w:r>
        <w:pict>
          <v:rect style="width:0;height:1.5pt" o:hralign="center" o:hrstd="t" o:hr="t"/>
        </w:pict>
      </w:r>
    </w:p>
    <w:bookmarkEnd w:id="21"/>
    <w:bookmarkStart w:id="22" w:name="X7786ea1e32f360a26a560c4dabd1e369706a5b1"/>
    <w:p>
      <w:pPr>
        <w:pStyle w:val="Heading3"/>
      </w:pPr>
      <w:r>
        <w:t xml:space="preserve">10. Proportionality and Distribution</w:t>
      </w:r>
    </w:p>
    <w:p>
      <w:pPr>
        <w:pStyle w:val="FirstParagraph"/>
      </w:pPr>
      <w:r>
        <w:t xml:space="preserve">Where multiple Subjects are responsible:</w:t>
      </w:r>
    </w:p>
    <w:p>
      <w:pPr>
        <w:pStyle w:val="Compact"/>
        <w:numPr>
          <w:ilvl w:val="0"/>
          <w:numId w:val="1017"/>
        </w:numPr>
      </w:pPr>
      <w:r>
        <w:t xml:space="preserve">consequences SHALL be distributed proportionally to responsibility weights,</w:t>
      </w:r>
    </w:p>
    <w:p>
      <w:pPr>
        <w:pStyle w:val="Compact"/>
        <w:numPr>
          <w:ilvl w:val="0"/>
          <w:numId w:val="1017"/>
        </w:numPr>
      </w:pPr>
      <w:r>
        <w:t xml:space="preserve">no Subject SHALL absorb consequences exceeding its attributable contribution.</w:t>
      </w:r>
    </w:p>
    <w:p>
      <w:pPr>
        <w:pStyle w:val="FirstParagraph"/>
      </w:pPr>
      <w:r>
        <w:t xml:space="preserve">Collective responsibility SHALL NOT nullify individual accountability.</w:t>
      </w:r>
    </w:p>
    <w:p>
      <w:r>
        <w:pict>
          <v:rect style="width:0;height:1.5pt" o:hralign="center" o:hrstd="t" o:hr="t"/>
        </w:pict>
      </w:r>
    </w:p>
    <w:bookmarkEnd w:id="22"/>
    <w:bookmarkStart w:id="24" w:name="Xf89be113c8135c91bb98421c4dba6d0afd704bb"/>
    <w:p>
      <w:pPr>
        <w:pStyle w:val="Heading3"/>
      </w:pPr>
      <w:r>
        <w:t xml:space="preserve">11. Temporal Re-evaluation</w:t>
      </w:r>
    </w:p>
    <w:p>
      <w:pPr>
        <w:pStyle w:val="FirstParagraph"/>
      </w:pPr>
      <w:r>
        <w:t xml:space="preserve">Justice outputs SHALL be re-evaluated when:</w:t>
      </w:r>
    </w:p>
    <w:p>
      <w:pPr>
        <w:pStyle w:val="Compact"/>
        <w:numPr>
          <w:ilvl w:val="0"/>
          <w:numId w:val="1018"/>
        </w:numPr>
      </w:pPr>
      <w:r>
        <w:t xml:space="preserve">impact metrics change,</w:t>
      </w:r>
    </w:p>
    <w:p>
      <w:pPr>
        <w:pStyle w:val="Compact"/>
        <w:numPr>
          <w:ilvl w:val="0"/>
          <w:numId w:val="1018"/>
        </w:numPr>
      </w:pPr>
      <w:r>
        <w:t xml:space="preserve">mitigation occurs,</w:t>
      </w:r>
    </w:p>
    <w:p>
      <w:pPr>
        <w:pStyle w:val="Compact"/>
        <w:numPr>
          <w:ilvl w:val="0"/>
          <w:numId w:val="1018"/>
        </w:numPr>
      </w:pPr>
      <w:r>
        <w:t xml:space="preserve">new data reduces uncertainty,</w:t>
      </w:r>
    </w:p>
    <w:p>
      <w:pPr>
        <w:pStyle w:val="Compact"/>
        <w:numPr>
          <w:ilvl w:val="0"/>
          <w:numId w:val="1018"/>
        </w:numPr>
      </w:pPr>
      <w:r>
        <w:t xml:space="preserve">system boundary conditions shift.</w:t>
      </w:r>
    </w:p>
    <w:p>
      <w:pPr>
        <w:pStyle w:val="FirstParagraph"/>
      </w:pPr>
      <w:r>
        <w:t xml:space="preserve">Justice is adaptive but not discretionary.</w:t>
      </w:r>
    </w:p>
    <w:p>
      <w:pPr>
        <w:pStyle w:val="BodyText"/>
      </w:pPr>
      <w:r>
        <w:t xml:space="preserve">Re-evaluation frequency SHALL be bounded by Physical Truth Layer temporal guarantees.</w:t>
      </w:r>
    </w:p>
    <w:p>
      <w:pPr>
        <w:pStyle w:val="BodyText"/>
      </w:pPr>
      <w:r>
        <w:t xml:space="preserve">Justice outputs MAY NOT be re-evaluated more frequently than the minimum TTL (Time-To-Live) of the underlying Physical Truth Layer data that produced the original impact measurements.</w:t>
      </w:r>
    </w:p>
    <w:p>
      <w:pPr>
        <w:pStyle w:val="BodyText"/>
      </w:pPr>
      <w:r>
        <w:t xml:space="preserve">Any attempt to trigger re-evaluation using incomplete, stale, or selectively withheld data SHALL be treated as continued exposure to prior justice outcomes.</w:t>
      </w:r>
    </w:p>
    <w:p>
      <w:pPr>
        <w:pStyle w:val="BodyText"/>
      </w:pPr>
      <w:r>
        <w:t xml:space="preserve">Adaptive justice SHALL NOT permit oscillatory relief, temporary concealment, or strategic delay of mitigation.</w:t>
      </w:r>
    </w:p>
    <w:bookmarkStart w:id="23" w:name="dispute-exception-clause"/>
    <w:p>
      <w:pPr>
        <w:pStyle w:val="Heading4"/>
      </w:pPr>
      <w:r>
        <w:t xml:space="preserve">Dispute Exception Clause</w:t>
      </w:r>
    </w:p>
    <w:p>
      <w:pPr>
        <w:pStyle w:val="FirstParagraph"/>
      </w:pPr>
      <w:r>
        <w:t xml:space="preserve">The TTL-based re-evaluation constraint applies to scheduled periodic re-evaluation cycles only.</w:t>
      </w:r>
    </w:p>
    <w:p>
      <w:pPr>
        <w:pStyle w:val="BodyText"/>
      </w:pPr>
      <w:r>
        <w:t xml:space="preserve">Dispute events triggered by new admissible data under Section 7.1 of DKP-1-EPISTEMIC-BOUNDARIES-001 SHALL NOT be rejected solely on TTL grounds.</w:t>
      </w:r>
    </w:p>
    <w:p>
      <w:pPr>
        <w:pStyle w:val="BodyText"/>
      </w:pPr>
      <w:r>
        <w:t xml:space="preserve">A valid Dispute Event SHALL initiate re-evaluation regardless of elapsed time since last evaluation, provided:</w:t>
      </w:r>
    </w:p>
    <w:p>
      <w:pPr>
        <w:pStyle w:val="BodyText"/>
      </w:pPr>
      <w:r>
        <w:t xml:space="preserve">a) the dispute introduces new admissible data not present in prior evaluation,</w:t>
      </w:r>
    </w:p>
    <w:p>
      <w:pPr>
        <w:pStyle w:val="BodyText"/>
      </w:pPr>
      <w:r>
        <w:t xml:space="preserve">b) the dispute alleges oracle inconsistency, scope violation, or measurement integrity challenge,</w:t>
      </w:r>
    </w:p>
    <w:p>
      <w:pPr>
        <w:pStyle w:val="BodyText"/>
      </w:pPr>
      <w:r>
        <w:t xml:space="preserve">c) the dispute is submitted through DKP-4-ERROR-001 appeal mechanism.</w:t>
      </w:r>
    </w:p>
    <w:p>
      <w:pPr>
        <w:pStyle w:val="BodyText"/>
      </w:pPr>
      <w:r>
        <w:t xml:space="preserve">This exception preserves Core Invariant #3: No DKP output is final; all outputs remain subject to re-evaluation.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f8fb34c26ef9d95605c612ea0685b0bfa1e5b7b"/>
    <w:p>
      <w:pPr>
        <w:pStyle w:val="Heading3"/>
      </w:pPr>
      <w:r>
        <w:t xml:space="preserve">12. No-Exemption Invariant</w:t>
      </w:r>
    </w:p>
    <w:p>
      <w:pPr>
        <w:pStyle w:val="FirstParagraph"/>
      </w:pPr>
      <w:r>
        <w:t xml:space="preserve">No Subject SHALL be exempt from justice outcomes based on:</w:t>
      </w:r>
    </w:p>
    <w:p>
      <w:pPr>
        <w:pStyle w:val="Compact"/>
        <w:numPr>
          <w:ilvl w:val="0"/>
          <w:numId w:val="1019"/>
        </w:numPr>
      </w:pPr>
      <w:r>
        <w:t xml:space="preserve">status,</w:t>
      </w:r>
    </w:p>
    <w:p>
      <w:pPr>
        <w:pStyle w:val="Compact"/>
        <w:numPr>
          <w:ilvl w:val="0"/>
          <w:numId w:val="1019"/>
        </w:numPr>
      </w:pPr>
      <w:r>
        <w:t xml:space="preserve">authority,</w:t>
      </w:r>
    </w:p>
    <w:p>
      <w:pPr>
        <w:pStyle w:val="Compact"/>
        <w:numPr>
          <w:ilvl w:val="0"/>
          <w:numId w:val="1019"/>
        </w:numPr>
      </w:pPr>
      <w:r>
        <w:t xml:space="preserve">jurisdiction,</w:t>
      </w:r>
    </w:p>
    <w:p>
      <w:pPr>
        <w:pStyle w:val="Compact"/>
        <w:numPr>
          <w:ilvl w:val="0"/>
          <w:numId w:val="1019"/>
        </w:numPr>
      </w:pPr>
      <w:r>
        <w:t xml:space="preserve">ideology,</w:t>
      </w:r>
    </w:p>
    <w:p>
      <w:pPr>
        <w:pStyle w:val="Compact"/>
        <w:numPr>
          <w:ilvl w:val="0"/>
          <w:numId w:val="1019"/>
        </w:numPr>
      </w:pPr>
      <w:r>
        <w:t xml:space="preserve">cultural justification.</w:t>
      </w:r>
    </w:p>
    <w:p>
      <w:pPr>
        <w:pStyle w:val="FirstParagraph"/>
      </w:pPr>
      <w:r>
        <w:t xml:space="preserve">Justice follows causality, not hierarchy.</w:t>
      </w:r>
    </w:p>
    <w:p>
      <w:r>
        <w:pict>
          <v:rect style="width:0;height:1.5pt" o:hralign="center" o:hrstd="t" o:hr="t"/>
        </w:pict>
      </w:r>
    </w:p>
    <w:bookmarkEnd w:id="25"/>
    <w:bookmarkStart w:id="26" w:name="X461af9cbf1ae1dbbb4fe5374fe8caaee2cec184"/>
    <w:p>
      <w:pPr>
        <w:pStyle w:val="Heading3"/>
      </w:pPr>
      <w:r>
        <w:t xml:space="preserve">13. Cross-Layer Isolation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20"/>
        </w:numPr>
      </w:pPr>
      <w:r>
        <w:t xml:space="preserve">reinterpret impact metrics,</w:t>
      </w:r>
    </w:p>
    <w:p>
      <w:pPr>
        <w:pStyle w:val="Compact"/>
        <w:numPr>
          <w:ilvl w:val="0"/>
          <w:numId w:val="1020"/>
        </w:numPr>
      </w:pPr>
      <w:r>
        <w:t xml:space="preserve">alter identity attribution,</w:t>
      </w:r>
    </w:p>
    <w:p>
      <w:pPr>
        <w:pStyle w:val="Compact"/>
        <w:numPr>
          <w:ilvl w:val="0"/>
          <w:numId w:val="1020"/>
        </w:numPr>
      </w:pPr>
      <w:r>
        <w:t xml:space="preserve">override axiom-defined bounds,</w:t>
      </w:r>
    </w:p>
    <w:p>
      <w:pPr>
        <w:pStyle w:val="Compact"/>
        <w:numPr>
          <w:ilvl w:val="0"/>
          <w:numId w:val="1020"/>
        </w:numPr>
      </w:pPr>
      <w:r>
        <w:t xml:space="preserve">inject policy, governance, or moral reasoning.</w:t>
      </w:r>
    </w:p>
    <w:p>
      <w:pPr>
        <w:pStyle w:val="FirstParagraph"/>
      </w:pPr>
      <w:r>
        <w:t xml:space="preserve">Violation constitutes a critical architectural breach.</w:t>
      </w:r>
    </w:p>
    <w:p>
      <w:r>
        <w:pict>
          <v:rect style="width:0;height:1.5pt" o:hralign="center" o:hrstd="t" o:hr="t"/>
        </w:pict>
      </w:r>
    </w:p>
    <w:bookmarkEnd w:id="26"/>
    <w:bookmarkStart w:id="27" w:name="X386d6528b1ac286a7368654447ea8baead40814"/>
    <w:p>
      <w:pPr>
        <w:pStyle w:val="Heading3"/>
      </w:pPr>
      <w:r>
        <w:t xml:space="preserve">14. Transparency and Auditability</w:t>
      </w:r>
    </w:p>
    <w:p>
      <w:pPr>
        <w:pStyle w:val="FirstParagraph"/>
      </w:pPr>
      <w:r>
        <w:t xml:space="preserve">All justice computations MUST be:</w:t>
      </w:r>
    </w:p>
    <w:p>
      <w:pPr>
        <w:pStyle w:val="Compact"/>
        <w:numPr>
          <w:ilvl w:val="0"/>
          <w:numId w:val="1021"/>
        </w:numPr>
      </w:pPr>
      <w:r>
        <w:t xml:space="preserve">deterministic,</w:t>
      </w:r>
    </w:p>
    <w:p>
      <w:pPr>
        <w:pStyle w:val="Compact"/>
        <w:numPr>
          <w:ilvl w:val="0"/>
          <w:numId w:val="1021"/>
        </w:numPr>
      </w:pPr>
      <w:r>
        <w:t xml:space="preserve">reproducible,</w:t>
      </w:r>
    </w:p>
    <w:p>
      <w:pPr>
        <w:pStyle w:val="Compact"/>
        <w:numPr>
          <w:ilvl w:val="0"/>
          <w:numId w:val="1021"/>
        </w:numPr>
      </w:pPr>
      <w:r>
        <w:t xml:space="preserve">fully auditable,</w:t>
      </w:r>
    </w:p>
    <w:p>
      <w:pPr>
        <w:pStyle w:val="Compact"/>
        <w:numPr>
          <w:ilvl w:val="0"/>
          <w:numId w:val="1021"/>
        </w:numPr>
      </w:pPr>
      <w:r>
        <w:t xml:space="preserve">traceable to protocol inputs.</w:t>
      </w:r>
    </w:p>
    <w:p>
      <w:pPr>
        <w:pStyle w:val="FirstParagraph"/>
      </w:pPr>
      <w:r>
        <w:t xml:space="preserve">Opaque, discretionary, or non-reproducible justice mechanisms are forbidden.</w:t>
      </w:r>
    </w:p>
    <w:p>
      <w:r>
        <w:pict>
          <v:rect style="width:0;height:1.5pt" o:hralign="center" o:hrstd="t" o:hr="t"/>
        </w:pict>
      </w:r>
    </w:p>
    <w:bookmarkEnd w:id="27"/>
    <w:bookmarkStart w:id="28" w:name="X7410ee8bb665b0529d75c581f8e0030af115859"/>
    <w:p>
      <w:pPr>
        <w:pStyle w:val="Heading3"/>
      </w:pPr>
      <w:r>
        <w:t xml:space="preserve">15. Protocol Finality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Any modification requires:</w:t>
      </w:r>
    </w:p>
    <w:p>
      <w:pPr>
        <w:pStyle w:val="Compact"/>
        <w:numPr>
          <w:ilvl w:val="0"/>
          <w:numId w:val="1022"/>
        </w:numPr>
      </w:pPr>
      <w:r>
        <w:t xml:space="preserve">a new protocol identifier,</w:t>
      </w:r>
    </w:p>
    <w:p>
      <w:pPr>
        <w:pStyle w:val="Compact"/>
        <w:numPr>
          <w:ilvl w:val="0"/>
          <w:numId w:val="1022"/>
        </w:numPr>
      </w:pPr>
      <w:r>
        <w:t xml:space="preserve">explicit incompatibility declaration,</w:t>
      </w:r>
    </w:p>
    <w:p>
      <w:pPr>
        <w:pStyle w:val="Compact"/>
        <w:numPr>
          <w:ilvl w:val="0"/>
          <w:numId w:val="1022"/>
        </w:numPr>
      </w:pPr>
      <w:r>
        <w:t xml:space="preserve">full-system simulation under DKP-8-SIMULATION.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PROTOCOL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2026-10-04T10:23:46Z</dcterms:created>
  <dcterms:modified xsi:type="dcterms:W3CDTF">2026-10-04T10:23:46Z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