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dkp-1-prevention-001"/>
    <w:p>
      <w:pPr>
        <w:pStyle w:val="Heading1"/>
      </w:pPr>
      <w:r>
        <w:t xml:space="preserve">DKP-1-PREVENTION-001</w:t>
      </w:r>
    </w:p>
    <w:p>
      <w:pPr>
        <w:pStyle w:val="FirstParagraph"/>
      </w:pPr>
      <w:r>
        <w:rPr>
          <w:i/>
          <w:iCs/>
        </w:rPr>
        <w:t xml:space="preserve">Last updated: 2026-10-04</w:t>
      </w:r>
      <w:r>
        <w:t xml:space="preserve"> </w:t>
      </w:r>
      <w:r>
        <w:t xml:space="preserve">· Layer: L1–L2 Boundary · Depends on: DKP-0-ORACLE-001, DKP-1-IMPACT-001, DKP-1-IDENTITY-001 · Compatibility: Confirmed · Override: Not permitted</w:t>
      </w:r>
    </w:p>
    <w:bookmarkStart w:id="9" w:name="preventive-impact-attribution-protocol"/>
    <w:p>
      <w:pPr>
        <w:pStyle w:val="Heading3"/>
      </w:pPr>
      <w:r>
        <w:t xml:space="preserve">Preventive Impact Attribution Protocol</w:t>
      </w:r>
    </w:p>
    <w:p>
      <w:r>
        <w:pict>
          <v:rect style="width:0;height:1.5pt" o:hralign="center" o:hrstd="t" o:hr="t"/>
        </w:pict>
      </w:r>
    </w:p>
    <w:bookmarkEnd w:id="9"/>
    <w:bookmarkStart w:id="10" w:name="Xe656c7b6450ec476f453091ff6f524ec7bd654f"/>
    <w:p>
      <w:pPr>
        <w:pStyle w:val="Heading3"/>
      </w:pPr>
      <w:r>
        <w:t xml:space="preserve">1. Purpose</w:t>
      </w:r>
    </w:p>
    <w:p>
      <w:pPr>
        <w:pStyle w:val="FirstParagraph"/>
      </w:pPr>
      <w:r>
        <w:t xml:space="preserve">This protocol defines how preventive actions are transformed into measurable, attributable, and non-manipulable impact contributions.</w:t>
      </w:r>
    </w:p>
    <w:p>
      <w:pPr>
        <w:pStyle w:val="BodyText"/>
      </w:pPr>
      <w:r>
        <w:t xml:space="preserve">Preventive contribution is recognized only through measurable suppression of activated risk processes, not through absence of realized harm and not through hypothetical projections.</w:t>
      </w:r>
    </w:p>
    <w:p>
      <w:r>
        <w:pict>
          <v:rect style="width:0;height:1.5pt" o:hralign="center" o:hrstd="t" o:hr="t"/>
        </w:pict>
      </w:r>
    </w:p>
    <w:bookmarkEnd w:id="10"/>
    <w:bookmarkStart w:id="11" w:name="Xa3317ba21fa978274b1e9d4e4eff2aa3d4f65fa"/>
    <w:p>
      <w:pPr>
        <w:pStyle w:val="Heading3"/>
      </w:pPr>
      <w:r>
        <w:t xml:space="preserve">2. System Position</w:t>
      </w:r>
    </w:p>
    <w:p>
      <w:pPr>
        <w:pStyle w:val="FirstParagraph"/>
      </w:pPr>
      <w:r>
        <w:t xml:space="preserve">PTL → Impact → Prevention Attribution → Identity → Labor / Compensation</w:t>
      </w:r>
    </w:p>
    <w:p>
      <w:r>
        <w:pict>
          <v:rect style="width:0;height:1.5pt" o:hralign="center" o:hrstd="t" o:hr="t"/>
        </w:pict>
      </w:r>
    </w:p>
    <w:bookmarkEnd w:id="11"/>
    <w:bookmarkStart w:id="25" w:name="X181837d14a0515875e67aea3e7a6eb6033519d9"/>
    <w:p>
      <w:pPr>
        <w:pStyle w:val="Heading3"/>
      </w:pPr>
      <w:r>
        <w:t xml:space="preserve">3. Core Definitions</w:t>
      </w:r>
    </w:p>
    <w:bookmarkStart w:id="12" w:name="X01584551646fe2a20be6e6692570fcc12117042"/>
    <w:p>
      <w:pPr>
        <w:pStyle w:val="Heading4"/>
      </w:pPr>
      <w:r>
        <w:t xml:space="preserve">3.1 Protected Zone Z</w:t>
      </w:r>
    </w:p>
    <w:p>
      <w:pPr>
        <w:pStyle w:val="FirstParagraph"/>
      </w:pPr>
      <w:r>
        <w:t xml:space="preserve">Physically bounded domain of evaluation.</w:t>
      </w:r>
    </w:p>
    <w:p>
      <w:r>
        <w:pict>
          <v:rect style="width:0;height:1.5pt" o:hralign="center" o:hrstd="t" o:hr="t"/>
        </w:pict>
      </w:r>
    </w:p>
    <w:bookmarkEnd w:id="12"/>
    <w:bookmarkStart w:id="13" w:name="X46287881be7d4314a08212da4c18aa5d619bf0f"/>
    <w:p>
      <w:pPr>
        <w:pStyle w:val="Heading4"/>
      </w:pPr>
      <w:r>
        <w:t xml:space="preserve">3.2 Risk Channel Rcᵢ</w:t>
      </w:r>
    </w:p>
    <w:p>
      <w:pPr>
        <w:pStyle w:val="FirstParagraph"/>
      </w:pPr>
      <w:r>
        <w:t xml:space="preserve">PTL-derived measurable risk exposure channel.</w:t>
      </w:r>
    </w:p>
    <w:p>
      <w:r>
        <w:pict>
          <v:rect style="width:0;height:1.5pt" o:hralign="center" o:hrstd="t" o:hr="t"/>
        </w:pict>
      </w:r>
    </w:p>
    <w:bookmarkEnd w:id="13"/>
    <w:bookmarkStart w:id="14" w:name="X75dbb675da1995db8132b17e6128d13270640eb"/>
    <w:p>
      <w:pPr>
        <w:pStyle w:val="Heading4"/>
      </w:pPr>
      <w:r>
        <w:t xml:space="preserve">3.3 Threat Activation Signal (TAₖ)</w:t>
      </w:r>
    </w:p>
    <w:p>
      <w:pPr>
        <w:pStyle w:val="FirstParagraph"/>
      </w:pPr>
      <w:r>
        <w:t xml:space="preserve">TAₖ valid ⇔ confirmations ≥ 2 independent oracle classes</w:t>
      </w:r>
    </w:p>
    <w:p>
      <w:pPr>
        <w:pStyle w:val="BodyText"/>
      </w:pPr>
      <w:r>
        <w:t xml:space="preserve">Let:</w:t>
      </w:r>
    </w:p>
    <w:p>
      <w:pPr>
        <w:pStyle w:val="BodyText"/>
      </w:pPr>
      <w:r>
        <w:t xml:space="preserve">Δ_oracle = max(intensity) − min(intensity)</w:t>
      </w:r>
    </w:p>
    <w:p>
      <w:pPr>
        <w:pStyle w:val="BodyText"/>
      </w:pPr>
      <w:r>
        <w:t xml:space="preserve">Two regimes:</w:t>
      </w:r>
    </w:p>
    <w:bookmarkEnd w:id="14"/>
    <w:bookmarkStart w:id="15" w:name="X69d23af85676ef15d0adefbe1d642f60017262a"/>
    <w:p>
      <w:pPr>
        <w:pStyle w:val="Heading4"/>
      </w:pPr>
      <w:r>
        <w:t xml:space="preserve">3.3.1 Consistent regime</w:t>
      </w:r>
    </w:p>
    <w:p>
      <w:pPr>
        <w:pStyle w:val="FirstParagraph"/>
      </w:pPr>
      <w:r>
        <w:t xml:space="preserve">Δ_oracle ≤ ε_consistency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TAₖ_intensity = min(valid oracle intensities)</w:t>
      </w:r>
    </w:p>
    <w:bookmarkEnd w:id="15"/>
    <w:bookmarkStart w:id="16" w:name="Xb90b3166c5c51e1c4622ed6bea7fd447d844557"/>
    <w:p>
      <w:pPr>
        <w:pStyle w:val="Heading4"/>
      </w:pPr>
      <w:r>
        <w:t xml:space="preserve">3.3.2 Inconsistent regime</w:t>
      </w:r>
    </w:p>
    <w:p>
      <w:pPr>
        <w:pStyle w:val="FirstParagraph"/>
      </w:pPr>
      <w:r>
        <w:t xml:space="preserve">Δ_oracle &gt; ε_consistency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SPDₖ = informational</w:t>
      </w:r>
    </w:p>
    <w:p>
      <w:r>
        <w:pict>
          <v:rect style="width:0;height:1.5pt" o:hralign="center" o:hrstd="t" o:hr="t"/>
        </w:pict>
      </w:r>
    </w:p>
    <w:bookmarkEnd w:id="16"/>
    <w:bookmarkStart w:id="17" w:name="Xef3df021a6e8dac6b71912ecd9f44fd12f805fd"/>
    <w:p>
      <w:pPr>
        <w:pStyle w:val="Heading4"/>
      </w:pPr>
      <w:r>
        <w:t xml:space="preserve">3.4 Subject-linked Intervention (SIₖ)</w:t>
      </w:r>
    </w:p>
    <w:p>
      <w:pPr>
        <w:pStyle w:val="FirstParagraph"/>
      </w:pPr>
      <w:r>
        <w:t xml:space="preserve">Measured Subject action within valid space-time window.</w:t>
      </w:r>
    </w:p>
    <w:p>
      <w:r>
        <w:pict>
          <v:rect style="width:0;height:1.5pt" o:hralign="center" o:hrstd="t" o:hr="t"/>
        </w:pict>
      </w:r>
    </w:p>
    <w:bookmarkEnd w:id="17"/>
    <w:bookmarkStart w:id="18" w:name="Xbbc225e555b4c1ed948c0a824e171982f58d203"/>
    <w:p>
      <w:pPr>
        <w:pStyle w:val="Heading4"/>
      </w:pPr>
      <w:r>
        <w:t xml:space="preserve">3.5 Suppression Event (SEₖ)</w:t>
      </w:r>
    </w:p>
    <w:p>
      <w:pPr>
        <w:pStyle w:val="FirstParagraph"/>
      </w:pPr>
      <w:r>
        <w:t xml:space="preserve">Measured reduction/interruption of active risk.</w:t>
      </w:r>
    </w:p>
    <w:p>
      <w:r>
        <w:pict>
          <v:rect style="width:0;height:1.5pt" o:hralign="center" o:hrstd="t" o:hr="t"/>
        </w:pict>
      </w:r>
    </w:p>
    <w:bookmarkEnd w:id="18"/>
    <w:bookmarkStart w:id="19" w:name="X39ea8d095f43b3a315e48fbc9e0b83eb8d9d3f2"/>
    <w:p>
      <w:pPr>
        <w:pStyle w:val="Heading4"/>
      </w:pPr>
      <w:r>
        <w:t xml:space="preserve">3.6 Suppression Completeness (Sₖ)</w:t>
      </w:r>
    </w:p>
    <w:p>
      <w:pPr>
        <w:pStyle w:val="FirstParagraph"/>
      </w:pPr>
      <w:r>
        <w:t xml:space="preserve">Signals must be temporally aligned:</w:t>
      </w:r>
    </w:p>
    <w:p>
      <w:pPr>
        <w:pStyle w:val="BodyText"/>
      </w:pPr>
      <w:r>
        <w:t xml:space="preserve">TAₖ @ t₀</w:t>
      </w:r>
      <w:r>
        <w:br/>
      </w:r>
      <w:r>
        <w:t xml:space="preserve">SEₖ @ t₁, where 0 &lt; (t₁ − t₀) ≤ Δt_int</w:t>
      </w:r>
    </w:p>
    <w:p>
      <w:pPr>
        <w:pStyle w:val="BodyText"/>
      </w:pPr>
      <w:r>
        <w:t xml:space="preserve">Sₖ = clamp(0,1, (TAₖ_intensity − SEₖ_intensity) / TAₖ_intensity )</w:t>
      </w:r>
    </w:p>
    <w:p>
      <w:pPr>
        <w:pStyle w:val="BodyText"/>
      </w:pPr>
      <w:r>
        <w:t xml:space="preserve">If:</w:t>
      </w:r>
    </w:p>
    <w:p>
      <w:pPr>
        <w:pStyle w:val="BodyText"/>
      </w:pPr>
      <w:r>
        <w:t xml:space="preserve">SEₖ_intensity ≥ TAₖ_intensity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Sₖ = 0</w:t>
      </w:r>
      <w:r>
        <w:br/>
      </w:r>
      <w:r>
        <w:t xml:space="preserve">SPDₖ = 0</w:t>
      </w:r>
    </w:p>
    <w:p>
      <w:r>
        <w:pict>
          <v:rect style="width:0;height:1.5pt" o:hralign="center" o:hrstd="t" o:hr="t"/>
        </w:pict>
      </w:r>
    </w:p>
    <w:bookmarkEnd w:id="19"/>
    <w:bookmarkStart w:id="20" w:name="Xb2f267da0aa8c7a17d226f1d421030c80b191a5"/>
    <w:p>
      <w:pPr>
        <w:pStyle w:val="Heading4"/>
      </w:pPr>
      <w:r>
        <w:t xml:space="preserve">3.7 Threat Severity Weight (Wₖ)</w:t>
      </w:r>
    </w:p>
    <w:p>
      <w:pPr>
        <w:pStyle w:val="FirstParagraph"/>
      </w:pPr>
      <w:r>
        <w:t xml:space="preserve">Non-negative scalar.</w:t>
      </w:r>
    </w:p>
    <w:p>
      <w:r>
        <w:pict>
          <v:rect style="width:0;height:1.5pt" o:hralign="center" o:hrstd="t" o:hr="t"/>
        </w:pict>
      </w:r>
    </w:p>
    <w:bookmarkEnd w:id="20"/>
    <w:bookmarkStart w:id="21" w:name="Xacfa6f29d22ef32945c148e36007613be1e62fe"/>
    <w:p>
      <w:pPr>
        <w:pStyle w:val="Heading4"/>
      </w:pPr>
      <w:r>
        <w:t xml:space="preserve">3.8 Attribution Factor (Aₖ)</w:t>
      </w:r>
    </w:p>
    <w:p>
      <w:pPr>
        <w:pStyle w:val="FirstParagraph"/>
      </w:pPr>
      <w:r>
        <w:t xml:space="preserve">Aₖ ∈ [0,1]</w:t>
      </w:r>
    </w:p>
    <w:p>
      <w:r>
        <w:pict>
          <v:rect style="width:0;height:1.5pt" o:hralign="center" o:hrstd="t" o:hr="t"/>
        </w:pict>
      </w:r>
    </w:p>
    <w:bookmarkEnd w:id="21"/>
    <w:bookmarkStart w:id="22" w:name="X649760872f40b12ae67e7329271f21bf13be6eb"/>
    <w:p>
      <w:pPr>
        <w:pStyle w:val="Heading4"/>
      </w:pPr>
      <w:r>
        <w:t xml:space="preserve">3.9 Confidence Factor (Cₖ)</w:t>
      </w:r>
    </w:p>
    <w:p>
      <w:pPr>
        <w:pStyle w:val="FirstParagraph"/>
      </w:pPr>
      <w:r>
        <w:t xml:space="preserve">Derived from PTL coverage.</w:t>
      </w:r>
    </w:p>
    <w:p>
      <w:r>
        <w:pict>
          <v:rect style="width:0;height:1.5pt" o:hralign="center" o:hrstd="t" o:hr="t"/>
        </w:pict>
      </w:r>
    </w:p>
    <w:bookmarkEnd w:id="22"/>
    <w:bookmarkStart w:id="23" w:name="X858f7d6761fd65414b3a5c113e92eb63706338e"/>
    <w:p>
      <w:pPr>
        <w:pStyle w:val="Heading4"/>
      </w:pPr>
      <w:r>
        <w:t xml:space="preserve">3.10 Tamper Resistance Factor (Tₖ)</w:t>
      </w:r>
    </w:p>
    <w:p>
      <w:pPr>
        <w:pStyle w:val="FirstParagraph"/>
      </w:pPr>
      <w:r>
        <w:t xml:space="preserve">Derived from manipulation detection.</w:t>
      </w:r>
    </w:p>
    <w:p>
      <w:r>
        <w:pict>
          <v:rect style="width:0;height:1.5pt" o:hralign="center" o:hrstd="t" o:hr="t"/>
        </w:pict>
      </w:r>
    </w:p>
    <w:bookmarkEnd w:id="23"/>
    <w:bookmarkStart w:id="24" w:name="Xc637f5be8a81cb6dea0a88c4a4b48a5fac3714f"/>
    <w:p>
      <w:pPr>
        <w:pStyle w:val="Heading4"/>
      </w:pPr>
      <w:r>
        <w:t xml:space="preserve">3.11 Contextual Baseline Field (CBFᵢ)</w:t>
      </w:r>
    </w:p>
    <w:p>
      <w:pPr>
        <w:pStyle w:val="FirstParagraph"/>
      </w:pPr>
      <w:r>
        <w:t xml:space="preserve">Audit-only reference, non-reward.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3aa06d7a30e5778d9df48aaba0340a95d88a4d9"/>
    <w:p>
      <w:pPr>
        <w:pStyle w:val="Heading3"/>
      </w:pPr>
      <w:r>
        <w:t xml:space="preserve">4. Core Recognition Rule</w:t>
      </w:r>
    </w:p>
    <w:p>
      <w:pPr>
        <w:pStyle w:val="FirstParagraph"/>
      </w:pPr>
      <w:r>
        <w:t xml:space="preserve">TAₖ(valid, consistent) ∧ SIₖ ∧ SEₖ ⇒ SPDₖ &gt; 0</w:t>
      </w:r>
    </w:p>
    <w:p>
      <w:pPr>
        <w:pStyle w:val="BodyText"/>
      </w:pPr>
      <w:r>
        <w:t xml:space="preserve">Else:</w:t>
      </w:r>
    </w:p>
    <w:p>
      <w:pPr>
        <w:pStyle w:val="BodyText"/>
      </w:pPr>
      <w:r>
        <w:t xml:space="preserve">SPDₖ = 0 or informational</w:t>
      </w:r>
    </w:p>
    <w:p>
      <w:r>
        <w:pict>
          <v:rect style="width:0;height:1.5pt" o:hralign="center" o:hrstd="t" o:hr="t"/>
        </w:pict>
      </w:r>
    </w:p>
    <w:bookmarkEnd w:id="26"/>
    <w:bookmarkStart w:id="27" w:name="Xd84bfc27145d71aa6e82252b1c19592332cbb92"/>
    <w:p>
      <w:pPr>
        <w:pStyle w:val="Heading3"/>
      </w:pPr>
      <w:r>
        <w:t xml:space="preserve">5. Preventive Contribution Calculation</w:t>
      </w:r>
    </w:p>
    <w:p>
      <w:pPr>
        <w:pStyle w:val="FirstParagraph"/>
      </w:pPr>
      <w:r>
        <w:t xml:space="preserve">SPDₖ = Wₖ × Sₖ × Aₖ × Cₖ × Tₖ</w:t>
      </w:r>
    </w:p>
    <w:p>
      <w:pPr>
        <w:pStyle w:val="BodyText"/>
      </w:pPr>
      <w:r>
        <w:t xml:space="preserve">PS_subject = Σ SPDₖ</w:t>
      </w:r>
    </w:p>
    <w:p>
      <w:r>
        <w:pict>
          <v:rect style="width:0;height:1.5pt" o:hralign="center" o:hrstd="t" o:hr="t"/>
        </w:pict>
      </w:r>
    </w:p>
    <w:bookmarkEnd w:id="27"/>
    <w:bookmarkStart w:id="28" w:name="X4167cc13f4f27bec9cf681140fce1c21cefc871"/>
    <w:p>
      <w:pPr>
        <w:pStyle w:val="Heading3"/>
      </w:pPr>
      <w:r>
        <w:t xml:space="preserve">6. Attribution Rules</w:t>
      </w:r>
    </w:p>
    <w:p>
      <w:pPr>
        <w:pStyle w:val="FirstParagraph"/>
      </w:pPr>
      <w:r>
        <w:t xml:space="preserve">Aₖ &gt; 0 ⇔ causal linkage traceable</w:t>
      </w:r>
    </w:p>
    <w:p>
      <w:pPr>
        <w:pStyle w:val="BodyText"/>
      </w:pPr>
      <w:r>
        <w:t xml:space="preserve">Σ Aₖ ≤ 1</w:t>
      </w:r>
    </w:p>
    <w:p>
      <w:pPr>
        <w:pStyle w:val="BodyText"/>
      </w:pPr>
      <w:r>
        <w:t xml:space="preserve">Residual remains unallocated.</w:t>
      </w:r>
    </w:p>
    <w:p>
      <w:r>
        <w:pict>
          <v:rect style="width:0;height:1.5pt" o:hralign="center" o:hrstd="t" o:hr="t"/>
        </w:pict>
      </w:r>
    </w:p>
    <w:bookmarkEnd w:id="28"/>
    <w:bookmarkStart w:id="29" w:name="Xef2028a6e62b42950f0da5d55043f03a9c50ed9"/>
    <w:p>
      <w:pPr>
        <w:pStyle w:val="Heading3"/>
      </w:pPr>
      <w:r>
        <w:t xml:space="preserve">7. Justice Non-Leakage Invariant</w:t>
      </w:r>
    </w:p>
    <w:p>
      <w:pPr>
        <w:pStyle w:val="FirstParagraph"/>
      </w:pPr>
      <w:r>
        <w:t xml:space="preserve">Preventive attribution shall not create:</w:t>
      </w:r>
    </w:p>
    <w:p>
      <w:pPr>
        <w:pStyle w:val="Compact"/>
        <w:numPr>
          <w:ilvl w:val="0"/>
          <w:numId w:val="1001"/>
        </w:numPr>
      </w:pPr>
      <w:r>
        <w:t xml:space="preserve">obligation</w:t>
      </w:r>
    </w:p>
    <w:p>
      <w:pPr>
        <w:pStyle w:val="Compact"/>
        <w:numPr>
          <w:ilvl w:val="0"/>
          <w:numId w:val="1001"/>
        </w:numPr>
      </w:pPr>
      <w:r>
        <w:t xml:space="preserve">liability</w:t>
      </w:r>
    </w:p>
    <w:p>
      <w:pPr>
        <w:pStyle w:val="Compact"/>
        <w:numPr>
          <w:ilvl w:val="0"/>
          <w:numId w:val="1001"/>
        </w:numPr>
      </w:pPr>
      <w:r>
        <w:t xml:space="preserve">duty presumption</w:t>
      </w:r>
    </w:p>
    <w:p>
      <w:r>
        <w:pict>
          <v:rect style="width:0;height:1.5pt" o:hralign="center" o:hrstd="t" o:hr="t"/>
        </w:pict>
      </w:r>
    </w:p>
    <w:bookmarkEnd w:id="29"/>
    <w:bookmarkStart w:id="30" w:name="X24e1f97d64f3dd94cd63d0e01d88ea781352c92"/>
    <w:p>
      <w:pPr>
        <w:pStyle w:val="Heading3"/>
      </w:pPr>
      <w:r>
        <w:t xml:space="preserve">8. Privacy Constraint</w:t>
      </w:r>
    </w:p>
    <w:p>
      <w:pPr>
        <w:pStyle w:val="FirstParagraph"/>
      </w:pPr>
      <w:r>
        <w:t xml:space="preserve">Subject-linked intervention must be provable via:</w:t>
      </w:r>
    </w:p>
    <w:p>
      <w:pPr>
        <w:pStyle w:val="BodyText"/>
      </w:pPr>
      <w:r>
        <w:t xml:space="preserve">ZKP(SIₖ, linkage) without exposing raw behavioral logs</w:t>
      </w:r>
    </w:p>
    <w:p>
      <w:pPr>
        <w:pStyle w:val="BodyText"/>
      </w:pPr>
      <w:r>
        <w:t xml:space="preserve">Raw logs:</w:t>
      </w:r>
    </w:p>
    <w:p>
      <w:pPr>
        <w:pStyle w:val="Compact"/>
        <w:numPr>
          <w:ilvl w:val="0"/>
          <w:numId w:val="1002"/>
        </w:numPr>
      </w:pPr>
      <w:r>
        <w:t xml:space="preserve">encrypted</w:t>
      </w:r>
    </w:p>
    <w:p>
      <w:pPr>
        <w:pStyle w:val="Compact"/>
        <w:numPr>
          <w:ilvl w:val="0"/>
          <w:numId w:val="1002"/>
        </w:numPr>
      </w:pPr>
      <w:r>
        <w:t xml:space="preserve">access-restricted</w:t>
      </w:r>
    </w:p>
    <w:p>
      <w:pPr>
        <w:pStyle w:val="Compact"/>
        <w:numPr>
          <w:ilvl w:val="0"/>
          <w:numId w:val="1002"/>
        </w:numPr>
      </w:pPr>
      <w:r>
        <w:t xml:space="preserve">audit-gated</w:t>
      </w:r>
    </w:p>
    <w:p>
      <w:r>
        <w:pict>
          <v:rect style="width:0;height:1.5pt" o:hralign="center" o:hrstd="t" o:hr="t"/>
        </w:pict>
      </w:r>
    </w:p>
    <w:bookmarkEnd w:id="30"/>
    <w:bookmarkStart w:id="36" w:name="X9a2e271b60e393680ab87e4f7ca9c13dbc51642"/>
    <w:p>
      <w:pPr>
        <w:pStyle w:val="Heading3"/>
      </w:pPr>
      <w:r>
        <w:t xml:space="preserve">9. Anti-Manipulation Constraints</w:t>
      </w:r>
    </w:p>
    <w:bookmarkStart w:id="31" w:name="Xb815ae149b6365dd571088f39002ae92274907a"/>
    <w:p>
      <w:pPr>
        <w:pStyle w:val="Heading4"/>
      </w:pPr>
      <w:r>
        <w:t xml:space="preserve">9.1 Self-Induced Risk</w:t>
      </w:r>
    </w:p>
    <w:p>
      <w:pPr>
        <w:pStyle w:val="FirstParagraph"/>
      </w:pPr>
      <w:r>
        <w:t xml:space="preserve">if linkage(subject, TAₖ) &gt; θ → Tₖ = 0</w:t>
      </w:r>
    </w:p>
    <w:p>
      <w:r>
        <w:pict>
          <v:rect style="width:0;height:1.5pt" o:hralign="center" o:hrstd="t" o:hr="t"/>
        </w:pict>
      </w:r>
    </w:p>
    <w:bookmarkEnd w:id="31"/>
    <w:bookmarkStart w:id="32" w:name="X5c9f8f53bc9a3a92bd3f02325e456a4048f4ede"/>
    <w:p>
      <w:pPr>
        <w:pStyle w:val="Heading4"/>
      </w:pPr>
      <w:r>
        <w:t xml:space="preserve">9.2 Baseline Isolation</w:t>
      </w:r>
    </w:p>
    <w:p>
      <w:pPr>
        <w:pStyle w:val="FirstParagraph"/>
      </w:pPr>
      <w:r>
        <w:t xml:space="preserve">CBFᵢ non-reward.</w:t>
      </w:r>
    </w:p>
    <w:p>
      <w:r>
        <w:pict>
          <v:rect style="width:0;height:1.5pt" o:hralign="center" o:hrstd="t" o:hr="t"/>
        </w:pict>
      </w:r>
    </w:p>
    <w:bookmarkEnd w:id="32"/>
    <w:bookmarkStart w:id="33" w:name="X3de8ddec58f426a89d89cccf6c1adf0cc8f5e40"/>
    <w:p>
      <w:pPr>
        <w:pStyle w:val="Heading4"/>
      </w:pPr>
      <w:r>
        <w:t xml:space="preserve">9.3 Pattern Recurrence</w:t>
      </w:r>
    </w:p>
    <w:p>
      <w:pPr>
        <w:pStyle w:val="FirstParagraph"/>
      </w:pPr>
      <w:r>
        <w:t xml:space="preserve">repeat(TAₖ pattern) → Tₖ ↓</w:t>
      </w:r>
    </w:p>
    <w:p>
      <w:r>
        <w:pict>
          <v:rect style="width:0;height:1.5pt" o:hralign="center" o:hrstd="t" o:hr="t"/>
        </w:pict>
      </w:r>
    </w:p>
    <w:bookmarkEnd w:id="33"/>
    <w:bookmarkStart w:id="34" w:name="Xcac63001b43613162285cb9509bc00974d624c2"/>
    <w:p>
      <w:pPr>
        <w:pStyle w:val="Heading4"/>
      </w:pPr>
      <w:r>
        <w:t xml:space="preserve">9.4 Coverage Integrity</w:t>
      </w:r>
    </w:p>
    <w:p>
      <w:pPr>
        <w:pStyle w:val="FirstParagraph"/>
      </w:pPr>
      <w:r>
        <w:t xml:space="preserve">low coverage → Cₖ ↓</w:t>
      </w:r>
      <w:r>
        <w:br/>
      </w:r>
      <w:r>
        <w:t xml:space="preserve">no data → SPDₖ = 0</w:t>
      </w:r>
    </w:p>
    <w:p>
      <w:r>
        <w:pict>
          <v:rect style="width:0;height:1.5pt" o:hralign="center" o:hrstd="t" o:hr="t"/>
        </w:pict>
      </w:r>
    </w:p>
    <w:bookmarkEnd w:id="34"/>
    <w:bookmarkStart w:id="35" w:name="X996a11ba1699fd6aa639de2c63069c50f5013f0"/>
    <w:p>
      <w:pPr>
        <w:pStyle w:val="Heading4"/>
      </w:pPr>
      <w:r>
        <w:t xml:space="preserve">9.5 Multi-Oracle Requirement</w:t>
      </w:r>
    </w:p>
    <w:p>
      <w:pPr>
        <w:pStyle w:val="FirstParagraph"/>
      </w:pPr>
      <w:r>
        <w:t xml:space="preserve">Single-source invalid.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422f304568bcb10b96a106d7b390750c8993baa"/>
    <w:p>
      <w:pPr>
        <w:pStyle w:val="Heading3"/>
      </w:pPr>
      <w:r>
        <w:t xml:space="preserve">10. Coordinated Drift Protection</w:t>
      </w:r>
    </w:p>
    <w:p>
      <w:pPr>
        <w:pStyle w:val="FirstParagraph"/>
      </w:pPr>
      <w:r>
        <w:t xml:space="preserve">Peer signals non-reward.</w:t>
      </w:r>
    </w:p>
    <w:p>
      <w:pPr>
        <w:pStyle w:val="BodyText"/>
      </w:pPr>
      <w:r>
        <w:t xml:space="preserve">Global floors enforced.</w:t>
      </w:r>
    </w:p>
    <w:p>
      <w:r>
        <w:pict>
          <v:rect style="width:0;height:1.5pt" o:hralign="center" o:hrstd="t" o:hr="t"/>
        </w:pict>
      </w:r>
    </w:p>
    <w:bookmarkEnd w:id="37"/>
    <w:bookmarkStart w:id="38" w:name="X119c717d0ba79694c47d59b83d6cbb86dd48d45"/>
    <w:p>
      <w:pPr>
        <w:pStyle w:val="Heading3"/>
      </w:pPr>
      <w:r>
        <w:t xml:space="preserve">11. Output Specification</w:t>
      </w:r>
    </w:p>
    <w:p>
      <w:pPr>
        <w:pStyle w:val="Compact"/>
        <w:numPr>
          <w:ilvl w:val="0"/>
          <w:numId w:val="1003"/>
        </w:numPr>
      </w:pPr>
      <w:r>
        <w:t xml:space="preserve">SPDₖ</w:t>
      </w:r>
    </w:p>
    <w:p>
      <w:pPr>
        <w:pStyle w:val="Compact"/>
        <w:numPr>
          <w:ilvl w:val="0"/>
          <w:numId w:val="1003"/>
        </w:numPr>
      </w:pPr>
      <w:r>
        <w:t xml:space="preserve">PS_subject</w:t>
      </w:r>
    </w:p>
    <w:p>
      <w:pPr>
        <w:pStyle w:val="Compact"/>
        <w:numPr>
          <w:ilvl w:val="0"/>
          <w:numId w:val="1003"/>
        </w:numPr>
      </w:pPr>
      <w:r>
        <w:t xml:space="preserve">attribution</w:t>
      </w:r>
    </w:p>
    <w:p>
      <w:pPr>
        <w:pStyle w:val="Compact"/>
        <w:numPr>
          <w:ilvl w:val="0"/>
          <w:numId w:val="1003"/>
        </w:numPr>
      </w:pPr>
      <w:r>
        <w:t xml:space="preserve">confidence</w:t>
      </w:r>
    </w:p>
    <w:p>
      <w:pPr>
        <w:pStyle w:val="Compact"/>
        <w:numPr>
          <w:ilvl w:val="0"/>
          <w:numId w:val="1003"/>
        </w:numPr>
      </w:pPr>
      <w:r>
        <w:t xml:space="preserve">tamper flags</w:t>
      </w:r>
    </w:p>
    <w:p>
      <w:pPr>
        <w:pStyle w:val="FirstParagraph"/>
      </w:pPr>
      <w:r>
        <w:t xml:space="preserve">Deterministic and auditable.</w:t>
      </w:r>
    </w:p>
    <w:p>
      <w:r>
        <w:pict>
          <v:rect style="width:0;height:1.5pt" o:hralign="center" o:hrstd="t" o:hr="t"/>
        </w:pict>
      </w:r>
    </w:p>
    <w:bookmarkEnd w:id="38"/>
    <w:bookmarkStart w:id="39" w:name="Xff75f9ddf29b4f0a7bec3671b3042a03ed31e96"/>
    <w:p>
      <w:pPr>
        <w:pStyle w:val="Heading3"/>
      </w:pPr>
      <w:r>
        <w:t xml:space="preserve">12. Failure Modes</w:t>
      </w:r>
    </w:p>
    <w:p>
      <w:pPr>
        <w:pStyle w:val="Compact"/>
        <w:numPr>
          <w:ilvl w:val="0"/>
          <w:numId w:val="1004"/>
        </w:numPr>
      </w:pPr>
      <w:r>
        <w:t xml:space="preserve">oracle inconsistency (Δ_oracle &gt; ε_consistency) → informational</w:t>
      </w:r>
    </w:p>
    <w:p>
      <w:pPr>
        <w:pStyle w:val="Compact"/>
        <w:numPr>
          <w:ilvl w:val="0"/>
          <w:numId w:val="1004"/>
        </w:numPr>
      </w:pPr>
      <w:r>
        <w:t xml:space="preserve">attribution ambiguity → SPDₖ = 0</w:t>
      </w:r>
    </w:p>
    <w:p>
      <w:pPr>
        <w:pStyle w:val="Compact"/>
        <w:numPr>
          <w:ilvl w:val="0"/>
          <w:numId w:val="1004"/>
        </w:numPr>
      </w:pPr>
      <w:r>
        <w:t xml:space="preserve">sensor degradation → Cₖ ↓</w:t>
      </w:r>
    </w:p>
    <w:p>
      <w:r>
        <w:pict>
          <v:rect style="width:0;height:1.5pt" o:hralign="center" o:hrstd="t" o:hr="t"/>
        </w:pict>
      </w:r>
    </w:p>
    <w:bookmarkEnd w:id="39"/>
    <w:bookmarkStart w:id="40" w:name="X3410e13a9f73ccce253a4532764013f4b252f2b"/>
    <w:p>
      <w:pPr>
        <w:pStyle w:val="Heading3"/>
      </w:pPr>
      <w:r>
        <w:t xml:space="preserve">13. Invariants</w:t>
      </w:r>
    </w:p>
    <w:p>
      <w:pPr>
        <w:pStyle w:val="Compact"/>
        <w:numPr>
          <w:ilvl w:val="0"/>
          <w:numId w:val="1005"/>
        </w:numPr>
      </w:pPr>
      <w:r>
        <w:t xml:space="preserve">TAₖ, SIₖ, SEₖ required</w:t>
      </w:r>
    </w:p>
    <w:p>
      <w:pPr>
        <w:pStyle w:val="Compact"/>
        <w:numPr>
          <w:ilvl w:val="0"/>
          <w:numId w:val="1005"/>
        </w:numPr>
      </w:pPr>
      <w:r>
        <w:t xml:space="preserve">No reward from absence</w:t>
      </w:r>
    </w:p>
    <w:p>
      <w:pPr>
        <w:pStyle w:val="Compact"/>
        <w:numPr>
          <w:ilvl w:val="0"/>
          <w:numId w:val="1005"/>
        </w:numPr>
      </w:pPr>
      <w:r>
        <w:t xml:space="preserve">No hypothetical states</w:t>
      </w:r>
    </w:p>
    <w:p>
      <w:pPr>
        <w:pStyle w:val="Compact"/>
        <w:numPr>
          <w:ilvl w:val="0"/>
          <w:numId w:val="1005"/>
        </w:numPr>
      </w:pPr>
      <w:r>
        <w:t xml:space="preserve">Oracle consistency required</w:t>
      </w:r>
    </w:p>
    <w:p>
      <w:pPr>
        <w:pStyle w:val="Compact"/>
        <w:numPr>
          <w:ilvl w:val="0"/>
          <w:numId w:val="1005"/>
        </w:numPr>
      </w:pPr>
      <w:r>
        <w:t xml:space="preserve">Causal attribution mandatory</w:t>
      </w:r>
    </w:p>
    <w:p>
      <w:pPr>
        <w:pStyle w:val="Compact"/>
        <w:numPr>
          <w:ilvl w:val="0"/>
          <w:numId w:val="1005"/>
        </w:numPr>
      </w:pPr>
      <w:r>
        <w:t xml:space="preserve">Anti-gaming enforced</w:t>
      </w:r>
    </w:p>
    <w:p>
      <w:pPr>
        <w:pStyle w:val="Compact"/>
        <w:numPr>
          <w:ilvl w:val="0"/>
          <w:numId w:val="1005"/>
        </w:numPr>
      </w:pPr>
      <w:r>
        <w:t xml:space="preserve">No justice leakage</w:t>
      </w:r>
    </w:p>
    <w:p>
      <w:r>
        <w:pict>
          <v:rect style="width:0;height:1.5pt" o:hralign="center" o:hrstd="t" o:hr="t"/>
        </w:pict>
      </w:r>
    </w:p>
    <w:bookmarkEnd w:id="40"/>
    <w:bookmarkStart w:id="41" w:name="Xd84046c0e08493bdcc01315108a54b0474fbe0a"/>
    <w:p>
      <w:pPr>
        <w:pStyle w:val="Heading3"/>
      </w:pPr>
      <w:r>
        <w:t xml:space="preserve">14. Simulation Layer (L8)</w:t>
      </w:r>
    </w:p>
    <w:p>
      <w:pPr>
        <w:pStyle w:val="FirstParagraph"/>
      </w:pPr>
      <w:r>
        <w:t xml:space="preserve">Defines:</w:t>
      </w:r>
    </w:p>
    <w:p>
      <w:pPr>
        <w:pStyle w:val="Compact"/>
        <w:numPr>
          <w:ilvl w:val="0"/>
          <w:numId w:val="1006"/>
        </w:numPr>
      </w:pPr>
      <w:r>
        <w:t xml:space="preserve">ε_consistency</w:t>
      </w:r>
    </w:p>
    <w:p>
      <w:pPr>
        <w:pStyle w:val="Compact"/>
        <w:numPr>
          <w:ilvl w:val="0"/>
          <w:numId w:val="1006"/>
        </w:numPr>
      </w:pPr>
      <w:r>
        <w:t xml:space="preserve">Δt_int</w:t>
      </w:r>
    </w:p>
    <w:p>
      <w:pPr>
        <w:pStyle w:val="Compact"/>
        <w:numPr>
          <w:ilvl w:val="0"/>
          <w:numId w:val="1006"/>
        </w:numPr>
      </w:pPr>
      <w:r>
        <w:t xml:space="preserve">θ thresholds</w:t>
      </w:r>
    </w:p>
    <w:p>
      <w:pPr>
        <w:pStyle w:val="Compact"/>
        <w:numPr>
          <w:ilvl w:val="0"/>
          <w:numId w:val="1006"/>
        </w:numPr>
      </w:pPr>
      <w:r>
        <w:t xml:space="preserve">Wₖ weights</w:t>
      </w:r>
    </w:p>
    <w:p>
      <w:r>
        <w:pict>
          <v:rect style="width:0;height:1.5pt" o:hralign="center" o:hrstd="t" o:hr="t"/>
        </w:pict>
      </w:r>
    </w:p>
    <w:bookmarkEnd w:id="41"/>
    <w:bookmarkStart w:id="42" w:name="X77976dee3ff8801a69fbe65f5edda8376b5d65d"/>
    <w:p>
      <w:pPr>
        <w:pStyle w:val="Heading3"/>
      </w:pPr>
      <w:r>
        <w:t xml:space="preserve">15. Finality</w:t>
      </w:r>
    </w:p>
    <w:p>
      <w:pPr>
        <w:pStyle w:val="FirstParagraph"/>
      </w:pPr>
      <w:r>
        <w:t xml:space="preserve">This protocol is changed only through the controlled procedure of DKP-4-UPGRADE-001: proposal, simulation under DKP-8-SIMULATION-001, audit under DKP-8-AUDIT-001, acceptance conditions, activation window and rollback.</w:t>
      </w:r>
    </w:p>
    <w:p>
      <w:pPr>
        <w:pStyle w:val="BodyText"/>
      </w:pPr>
      <w:r>
        <w:t xml:space="preserve">Changes require:</w:t>
      </w:r>
    </w:p>
    <w:p>
      <w:pPr>
        <w:pStyle w:val="Compact"/>
        <w:numPr>
          <w:ilvl w:val="0"/>
          <w:numId w:val="1007"/>
        </w:numPr>
      </w:pPr>
      <w:r>
        <w:t xml:space="preserve">version increment</w:t>
      </w:r>
    </w:p>
    <w:p>
      <w:pPr>
        <w:pStyle w:val="Compact"/>
        <w:numPr>
          <w:ilvl w:val="0"/>
          <w:numId w:val="1007"/>
        </w:numPr>
      </w:pPr>
      <w:r>
        <w:t xml:space="preserve">compatibility audit</w:t>
      </w:r>
    </w:p>
    <w:p>
      <w:pPr>
        <w:pStyle w:val="Compact"/>
        <w:numPr>
          <w:ilvl w:val="0"/>
          <w:numId w:val="1007"/>
        </w:numPr>
      </w:pPr>
      <w:r>
        <w:t xml:space="preserve">migration path</w:t>
      </w:r>
    </w:p>
    <w:p>
      <w:pPr>
        <w:pStyle w:val="FirstParagraph"/>
      </w:pPr>
      <w:r>
        <w:t xml:space="preserve">Presentation-only corrections that do not change normative content are not Upgrades (DKP-4-UPGRADE-001 §3); they are recorded only by the "Last updated" date of this document.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2026-10-04T10:23:46Z</dcterms:created>
  <dcterms:modified xsi:type="dcterms:W3CDTF">2026-10-04T10:23:46Z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