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dkp-2-assets-001"/>
    <w:p>
      <w:pPr>
        <w:pStyle w:val="Heading1"/>
      </w:pPr>
      <w:r>
        <w:t xml:space="preserve">DKP-2-ASSETS-001</w:t>
      </w:r>
    </w:p>
    <w:p>
      <w:pPr>
        <w:pStyle w:val="FirstParagraph"/>
      </w:pPr>
      <w:r>
        <w:rPr>
          <w:i/>
          <w:iCs/>
        </w:rPr>
        <w:t xml:space="preserve">Last updated: 2026-10-04</w:t>
      </w:r>
    </w:p>
    <w:bookmarkStart w:id="9" w:name="property--assets-protocol"/>
    <w:p>
      <w:pPr>
        <w:pStyle w:val="Heading3"/>
      </w:pPr>
      <w:r>
        <w:t xml:space="preserve">Property &amp; Assets Protocol</w:t>
      </w:r>
    </w:p>
    <w:p>
      <w:r>
        <w:pict>
          <v:rect style="width:0;height:1.5pt" o:hralign="center" o:hrstd="t" o:hr="t"/>
        </w:pict>
      </w:r>
    </w:p>
    <w:bookmarkEnd w:id="9"/>
    <w:bookmarkStart w:id="10" w:name="Xe656c7b6450ec476f453091ff6f524ec7bd654f"/>
    <w:p>
      <w:pPr>
        <w:pStyle w:val="Heading3"/>
      </w:pPr>
      <w:r>
        <w:t xml:space="preserve">1. Purpose</w:t>
      </w:r>
    </w:p>
    <w:p>
      <w:pPr>
        <w:pStyle w:val="FirstParagraph"/>
      </w:pPr>
      <w:r>
        <w:t xml:space="preserve">The Property &amp; Assets Protocol defines how assets, resources, and property rights are established, maintained, constrained, revoked, and reallocated within the Dikenocracy system.</w:t>
      </w:r>
    </w:p>
    <w:p>
      <w:pPr>
        <w:pStyle w:val="BodyText"/>
      </w:pPr>
      <w:r>
        <w:t xml:space="preserve">Property is not treated as an absolute or intrinsic right. It is defined as a</w:t>
      </w:r>
      <w:r>
        <w:t xml:space="preserve"> </w:t>
      </w:r>
      <w:r>
        <w:rPr>
          <w:b/>
          <w:bCs/>
        </w:rPr>
        <w:t xml:space="preserve">conditional, revocable allocation of control</w:t>
      </w:r>
      <w:r>
        <w:t xml:space="preserve">, justified exclusively by measurable contribution and bounded by justice and physical reality.</w:t>
      </w:r>
    </w:p>
    <w:p>
      <w:pPr>
        <w:pStyle w:val="BodyText"/>
      </w:pPr>
      <w:r>
        <w:t xml:space="preserve">This protocol ensures that:</w:t>
      </w:r>
    </w:p>
    <w:p>
      <w:pPr>
        <w:pStyle w:val="Compact"/>
        <w:numPr>
          <w:ilvl w:val="0"/>
          <w:numId w:val="1001"/>
        </w:numPr>
      </w:pPr>
      <w:r>
        <w:t xml:space="preserve">ownership reflects net justice contribution,</w:t>
      </w:r>
    </w:p>
    <w:p>
      <w:pPr>
        <w:pStyle w:val="Compact"/>
        <w:numPr>
          <w:ilvl w:val="0"/>
          <w:numId w:val="1001"/>
        </w:numPr>
      </w:pPr>
      <w:r>
        <w:t xml:space="preserve">accumulation cannot externalize harm,</w:t>
      </w:r>
    </w:p>
    <w:p>
      <w:pPr>
        <w:pStyle w:val="Compact"/>
        <w:numPr>
          <w:ilvl w:val="0"/>
          <w:numId w:val="1001"/>
        </w:numPr>
      </w:pPr>
      <w:r>
        <w:t xml:space="preserve">assets cannot be used to bypass axiomatic limits,</w:t>
      </w:r>
    </w:p>
    <w:p>
      <w:pPr>
        <w:pStyle w:val="Compact"/>
        <w:numPr>
          <w:ilvl w:val="0"/>
          <w:numId w:val="1001"/>
        </w:numPr>
      </w:pPr>
      <w:r>
        <w:t xml:space="preserve">property remains subordinate to impact, causality, and truth.</w:t>
      </w:r>
    </w:p>
    <w:p>
      <w:r>
        <w:pict>
          <v:rect style="width:0;height:1.5pt" o:hralign="center" o:hrstd="t" o:hr="t"/>
        </w:pict>
      </w:r>
    </w:p>
    <w:bookmarkEnd w:id="10"/>
    <w:bookmarkStart w:id="11" w:name="Xa3317ba21fa978274b1e9d4e4eff2aa3d4f65fa"/>
    <w:p>
      <w:pPr>
        <w:pStyle w:val="Heading3"/>
      </w:pPr>
      <w:r>
        <w:t xml:space="preserve">2. System Position</w:t>
      </w:r>
    </w:p>
    <w:p>
      <w:pPr>
        <w:pStyle w:val="FirstParagraph"/>
      </w:pPr>
      <w:r>
        <w:t xml:space="preserve">This protocol operates:</w:t>
      </w:r>
    </w:p>
    <w:p>
      <w:pPr>
        <w:pStyle w:val="Compact"/>
        <w:numPr>
          <w:ilvl w:val="0"/>
          <w:numId w:val="1002"/>
        </w:numPr>
      </w:pPr>
      <w:r>
        <w:t xml:space="preserve">strictly downstream of DKP-0-ORACLE-001 (Physical Truth Layer),</w:t>
      </w:r>
    </w:p>
    <w:p>
      <w:pPr>
        <w:pStyle w:val="Compact"/>
        <w:numPr>
          <w:ilvl w:val="0"/>
          <w:numId w:val="1002"/>
        </w:numPr>
      </w:pPr>
      <w:r>
        <w:t xml:space="preserve">above all L1 protocols (AXIOMS, IMPACT, IDENTITY, JUSTICE),</w:t>
      </w:r>
    </w:p>
    <w:p>
      <w:pPr>
        <w:pStyle w:val="Compact"/>
        <w:numPr>
          <w:ilvl w:val="0"/>
          <w:numId w:val="1002"/>
        </w:numPr>
      </w:pPr>
      <w:r>
        <w:t xml:space="preserve">alongside DKP-2-FINANCE-001,</w:t>
      </w:r>
    </w:p>
    <w:p>
      <w:pPr>
        <w:pStyle w:val="Compact"/>
        <w:numPr>
          <w:ilvl w:val="0"/>
          <w:numId w:val="1002"/>
        </w:numPr>
      </w:pPr>
      <w:r>
        <w:t xml:space="preserve">below social, labor, security, crisis, and infrastructure protocols (L3–L5).</w:t>
      </w:r>
    </w:p>
    <w:p>
      <w:pPr>
        <w:pStyle w:val="FirstParagraph"/>
      </w:pPr>
      <w:r>
        <w:t xml:space="preserve">All asset-related decisions are invalid in the presence of a Physical Truth Layer systemic halt or unresolved divergence.</w:t>
      </w:r>
    </w:p>
    <w:p>
      <w:r>
        <w:pict>
          <v:rect style="width:0;height:1.5pt" o:hralign="center" o:hrstd="t" o:hr="t"/>
        </w:pict>
      </w:r>
    </w:p>
    <w:bookmarkEnd w:id="11"/>
    <w:bookmarkStart w:id="14" w:name="X181837d14a0515875e67aea3e7a6eb6033519d9"/>
    <w:p>
      <w:pPr>
        <w:pStyle w:val="Heading3"/>
      </w:pPr>
      <w:r>
        <w:t xml:space="preserve">3. Core Definitions</w:t>
      </w:r>
    </w:p>
    <w:bookmarkStart w:id="12" w:name="Xeaea490b5852570e3f32c65219cda949c5af97c"/>
    <w:p>
      <w:pPr>
        <w:pStyle w:val="Heading4"/>
      </w:pPr>
      <w:r>
        <w:t xml:space="preserve">3.1 Asset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Asset</w:t>
      </w:r>
      <w:r>
        <w:t xml:space="preserve"> </w:t>
      </w:r>
      <w:r>
        <w:t xml:space="preserve">is any physical, informational, or infrastructural entity that:</w:t>
      </w:r>
    </w:p>
    <w:p>
      <w:pPr>
        <w:pStyle w:val="Compact"/>
        <w:numPr>
          <w:ilvl w:val="0"/>
          <w:numId w:val="1003"/>
        </w:numPr>
      </w:pPr>
      <w:r>
        <w:t xml:space="preserve">can be controlled, excluded, or transferred,</w:t>
      </w:r>
    </w:p>
    <w:p>
      <w:pPr>
        <w:pStyle w:val="Compact"/>
        <w:numPr>
          <w:ilvl w:val="0"/>
          <w:numId w:val="1003"/>
        </w:numPr>
      </w:pPr>
      <w:r>
        <w:t xml:space="preserve">produces measurable impact across one or more impact channels,</w:t>
      </w:r>
    </w:p>
    <w:p>
      <w:pPr>
        <w:pStyle w:val="Compact"/>
        <w:numPr>
          <w:ilvl w:val="0"/>
          <w:numId w:val="1003"/>
        </w:numPr>
      </w:pPr>
      <w:r>
        <w:t xml:space="preserve">enables production, accumulation, or systemic influence.</w:t>
      </w:r>
    </w:p>
    <w:p>
      <w:pPr>
        <w:pStyle w:val="FirstParagraph"/>
      </w:pPr>
      <w:r>
        <w:t xml:space="preserve">Assets include, but are not limited to:</w:t>
      </w:r>
    </w:p>
    <w:p>
      <w:pPr>
        <w:pStyle w:val="Compact"/>
        <w:numPr>
          <w:ilvl w:val="0"/>
          <w:numId w:val="1004"/>
        </w:numPr>
      </w:pPr>
      <w:r>
        <w:t xml:space="preserve">land and natural resources,</w:t>
      </w:r>
    </w:p>
    <w:p>
      <w:pPr>
        <w:pStyle w:val="Compact"/>
        <w:numPr>
          <w:ilvl w:val="0"/>
          <w:numId w:val="1004"/>
        </w:numPr>
      </w:pPr>
      <w:r>
        <w:t xml:space="preserve">infrastructure and machinery,</w:t>
      </w:r>
    </w:p>
    <w:p>
      <w:pPr>
        <w:pStyle w:val="Compact"/>
        <w:numPr>
          <w:ilvl w:val="0"/>
          <w:numId w:val="1004"/>
        </w:numPr>
      </w:pPr>
      <w:r>
        <w:t xml:space="preserve">informational and intellectual systems,</w:t>
      </w:r>
    </w:p>
    <w:p>
      <w:pPr>
        <w:pStyle w:val="Compact"/>
        <w:numPr>
          <w:ilvl w:val="0"/>
          <w:numId w:val="1004"/>
        </w:numPr>
      </w:pPr>
      <w:r>
        <w:t xml:space="preserve">productive capital and financial instruments,</w:t>
      </w:r>
    </w:p>
    <w:p>
      <w:pPr>
        <w:pStyle w:val="Compact"/>
        <w:numPr>
          <w:ilvl w:val="0"/>
          <w:numId w:val="1004"/>
        </w:numPr>
      </w:pPr>
      <w:r>
        <w:t xml:space="preserve">algorithmic, digital, or networked systems.</w:t>
      </w:r>
    </w:p>
    <w:p>
      <w:r>
        <w:pict>
          <v:rect style="width:0;height:1.5pt" o:hralign="center" o:hrstd="t" o:hr="t"/>
        </w:pict>
      </w:r>
    </w:p>
    <w:bookmarkEnd w:id="12"/>
    <w:bookmarkStart w:id="13" w:name="X24671f4c180b7f142c887431e973efad865ecb6"/>
    <w:p>
      <w:pPr>
        <w:pStyle w:val="Heading4"/>
      </w:pPr>
      <w:r>
        <w:t xml:space="preserve">3.2 Property Right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Property Right</w:t>
      </w:r>
      <w:r>
        <w:t xml:space="preserve"> </w:t>
      </w:r>
      <w:r>
        <w:t xml:space="preserve">is a system-granted, conditional permission to control, use, or derive benefit from an Asset.</w:t>
      </w:r>
    </w:p>
    <w:p>
      <w:pPr>
        <w:pStyle w:val="BodyText"/>
      </w:pPr>
      <w:r>
        <w:t xml:space="preserve">Property Rights are:</w:t>
      </w:r>
    </w:p>
    <w:p>
      <w:pPr>
        <w:pStyle w:val="Compact"/>
        <w:numPr>
          <w:ilvl w:val="0"/>
          <w:numId w:val="1005"/>
        </w:numPr>
      </w:pPr>
      <w:r>
        <w:t xml:space="preserve">non-absolute,</w:t>
      </w:r>
    </w:p>
    <w:p>
      <w:pPr>
        <w:pStyle w:val="Compact"/>
        <w:numPr>
          <w:ilvl w:val="0"/>
          <w:numId w:val="1005"/>
        </w:numPr>
      </w:pPr>
      <w:r>
        <w:t xml:space="preserve">non-permanent,</w:t>
      </w:r>
    </w:p>
    <w:p>
      <w:pPr>
        <w:pStyle w:val="Compact"/>
        <w:numPr>
          <w:ilvl w:val="0"/>
          <w:numId w:val="1005"/>
        </w:numPr>
      </w:pPr>
      <w:r>
        <w:t xml:space="preserve">continuously impact-contingent,</w:t>
      </w:r>
    </w:p>
    <w:p>
      <w:pPr>
        <w:pStyle w:val="Compact"/>
        <w:numPr>
          <w:ilvl w:val="0"/>
          <w:numId w:val="1005"/>
        </w:numPr>
      </w:pPr>
      <w:r>
        <w:t xml:space="preserve">subordinate to justice outcomes and axiomatic constraints.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a00387b6b394ae8875dc7ab2c56b2c02de73e53"/>
    <w:p>
      <w:pPr>
        <w:pStyle w:val="Heading3"/>
      </w:pPr>
      <w:r>
        <w:t xml:space="preserve">4. Ownership Granting Conditions</w:t>
      </w:r>
    </w:p>
    <w:p>
      <w:pPr>
        <w:pStyle w:val="FirstParagraph"/>
      </w:pPr>
      <w:r>
        <w:t xml:space="preserve">A Property Right MAY be granted only if all of the following hold:</w:t>
      </w:r>
    </w:p>
    <w:p>
      <w:pPr>
        <w:pStyle w:val="BodyText"/>
      </w:pPr>
      <w:r>
        <w:t xml:space="preserve">a) the Subject demonstrates non-negative net justice contribution, b) projected asset use remains within impact bounds, c) axiomatic priorities are not violated, d) the Subject retains capacity for harm mitigation and restitution.</w:t>
      </w:r>
    </w:p>
    <w:p>
      <w:pPr>
        <w:pStyle w:val="BodyText"/>
      </w:pPr>
      <w:r>
        <w:t xml:space="preserve">Ownership SHALL NOT be granted solely on the basis of:</w:t>
      </w:r>
    </w:p>
    <w:p>
      <w:pPr>
        <w:pStyle w:val="Compact"/>
        <w:numPr>
          <w:ilvl w:val="0"/>
          <w:numId w:val="1006"/>
        </w:numPr>
      </w:pPr>
      <w:r>
        <w:t xml:space="preserve">prior possession,</w:t>
      </w:r>
    </w:p>
    <w:p>
      <w:pPr>
        <w:pStyle w:val="Compact"/>
        <w:numPr>
          <w:ilvl w:val="0"/>
          <w:numId w:val="1006"/>
        </w:numPr>
      </w:pPr>
      <w:r>
        <w:t xml:space="preserve">inheritance without obligation transfer,</w:t>
      </w:r>
    </w:p>
    <w:p>
      <w:pPr>
        <w:pStyle w:val="Compact"/>
        <w:numPr>
          <w:ilvl w:val="0"/>
          <w:numId w:val="1006"/>
        </w:numPr>
      </w:pPr>
      <w:r>
        <w:t xml:space="preserve">contractual abstraction detached from measurable impact.</w:t>
      </w:r>
    </w:p>
    <w:p>
      <w:r>
        <w:pict>
          <v:rect style="width:0;height:1.5pt" o:hralign="center" o:hrstd="t" o:hr="t"/>
        </w:pict>
      </w:r>
    </w:p>
    <w:bookmarkEnd w:id="15"/>
    <w:bookmarkStart w:id="16" w:name="Xd87e980fa4fec7f6304091993056f7bd43cd281"/>
    <w:p>
      <w:pPr>
        <w:pStyle w:val="Heading3"/>
      </w:pPr>
      <w:r>
        <w:t xml:space="preserve">5. Conditionality and Persistence</w:t>
      </w:r>
    </w:p>
    <w:p>
      <w:pPr>
        <w:pStyle w:val="FirstParagraph"/>
      </w:pPr>
      <w:r>
        <w:t xml:space="preserve">Property Rights persist only while:</w:t>
      </w:r>
    </w:p>
    <w:p>
      <w:pPr>
        <w:pStyle w:val="Compact"/>
        <w:numPr>
          <w:ilvl w:val="0"/>
          <w:numId w:val="1007"/>
        </w:numPr>
      </w:pPr>
      <w:r>
        <w:t xml:space="preserve">justice contribution remains non-negative,</w:t>
      </w:r>
    </w:p>
    <w:p>
      <w:pPr>
        <w:pStyle w:val="Compact"/>
        <w:numPr>
          <w:ilvl w:val="0"/>
          <w:numId w:val="1007"/>
        </w:numPr>
      </w:pPr>
      <w:r>
        <w:t xml:space="preserve">asset use complies with impact constraints,</w:t>
      </w:r>
    </w:p>
    <w:p>
      <w:pPr>
        <w:pStyle w:val="Compact"/>
        <w:numPr>
          <w:ilvl w:val="0"/>
          <w:numId w:val="1007"/>
        </w:numPr>
      </w:pPr>
      <w:r>
        <w:t xml:space="preserve">restitution obligations are satisfied.</w:t>
      </w:r>
    </w:p>
    <w:p>
      <w:pPr>
        <w:pStyle w:val="FirstParagraph"/>
      </w:pPr>
      <w:r>
        <w:t xml:space="preserve">Failure of any condition SHALL trigger automatic degradation, restriction, or suspension of the Property Right.</w:t>
      </w:r>
    </w:p>
    <w:p>
      <w:pPr>
        <w:pStyle w:val="BodyText"/>
      </w:pPr>
      <w:r>
        <w:t xml:space="preserve">No Property Right is permanent.</w:t>
      </w:r>
    </w:p>
    <w:p>
      <w:r>
        <w:pict>
          <v:rect style="width:0;height:1.5pt" o:hralign="center" o:hrstd="t" o:hr="t"/>
        </w:pict>
      </w:r>
    </w:p>
    <w:bookmarkEnd w:id="16"/>
    <w:bookmarkStart w:id="17" w:name="Xa280d681ec840dacd712e8fd62af3e0007e6f6c"/>
    <w:p>
      <w:pPr>
        <w:pStyle w:val="Heading3"/>
      </w:pPr>
      <w:r>
        <w:t xml:space="preserve">6. Asset Use Constraints</w:t>
      </w:r>
    </w:p>
    <w:p>
      <w:pPr>
        <w:pStyle w:val="FirstParagraph"/>
      </w:pPr>
      <w:r>
        <w:t xml:space="preserve">Assets MUST NOT be used to:</w:t>
      </w:r>
    </w:p>
    <w:p>
      <w:pPr>
        <w:pStyle w:val="Compact"/>
        <w:numPr>
          <w:ilvl w:val="0"/>
          <w:numId w:val="1008"/>
        </w:numPr>
      </w:pPr>
      <w:r>
        <w:t xml:space="preserve">amplify irreversible harm,</w:t>
      </w:r>
    </w:p>
    <w:p>
      <w:pPr>
        <w:pStyle w:val="Compact"/>
        <w:numPr>
          <w:ilvl w:val="0"/>
          <w:numId w:val="1008"/>
        </w:numPr>
      </w:pPr>
      <w:r>
        <w:t xml:space="preserve">externalize damage beyond system boundaries,</w:t>
      </w:r>
    </w:p>
    <w:p>
      <w:pPr>
        <w:pStyle w:val="Compact"/>
        <w:numPr>
          <w:ilvl w:val="0"/>
          <w:numId w:val="1008"/>
        </w:numPr>
      </w:pPr>
      <w:r>
        <w:t xml:space="preserve">bypass justice or identity attribution,</w:t>
      </w:r>
    </w:p>
    <w:p>
      <w:pPr>
        <w:pStyle w:val="Compact"/>
        <w:numPr>
          <w:ilvl w:val="0"/>
          <w:numId w:val="1008"/>
        </w:numPr>
      </w:pPr>
      <w:r>
        <w:t xml:space="preserve">violate axiomatic priorities.</w:t>
      </w:r>
    </w:p>
    <w:p>
      <w:pPr>
        <w:pStyle w:val="FirstParagraph"/>
      </w:pPr>
      <w:r>
        <w:t xml:space="preserve">Asset use that increases systemic risk or irreversible damage constitutes grounds for restriction or revocation.</w:t>
      </w:r>
    </w:p>
    <w:p>
      <w:r>
        <w:pict>
          <v:rect style="width:0;height:1.5pt" o:hralign="center" o:hrstd="t" o:hr="t"/>
        </w:pict>
      </w:r>
    </w:p>
    <w:bookmarkEnd w:id="17"/>
    <w:bookmarkStart w:id="18" w:name="X9beb6d429cc0035bdd3bfad41ea9738ad673a41"/>
    <w:p>
      <w:pPr>
        <w:pStyle w:val="Heading3"/>
      </w:pPr>
      <w:r>
        <w:t xml:space="preserve">7. Accumulation and Concentration Limits</w:t>
      </w:r>
    </w:p>
    <w:p>
      <w:pPr>
        <w:pStyle w:val="FirstParagraph"/>
      </w:pPr>
      <w:r>
        <w:t xml:space="preserve">Asset accumulation is subject to</w:t>
      </w:r>
      <w:r>
        <w:t xml:space="preserve"> </w:t>
      </w:r>
      <w:r>
        <w:rPr>
          <w:b/>
          <w:bCs/>
        </w:rPr>
        <w:t xml:space="preserve">impact-based concentration constraints</w:t>
      </w:r>
      <w:r>
        <w:t xml:space="preserve">.</w:t>
      </w:r>
    </w:p>
    <w:p>
      <w:pPr>
        <w:pStyle w:val="BodyText"/>
      </w:pPr>
      <w:r>
        <w:t xml:space="preserve">Where accumulation:</w:t>
      </w:r>
    </w:p>
    <w:p>
      <w:pPr>
        <w:pStyle w:val="Compact"/>
        <w:numPr>
          <w:ilvl w:val="0"/>
          <w:numId w:val="1009"/>
        </w:numPr>
      </w:pPr>
      <w:r>
        <w:t xml:space="preserve">increases systemic fragility,</w:t>
      </w:r>
    </w:p>
    <w:p>
      <w:pPr>
        <w:pStyle w:val="Compact"/>
        <w:numPr>
          <w:ilvl w:val="0"/>
          <w:numId w:val="1009"/>
        </w:numPr>
      </w:pPr>
      <w:r>
        <w:t xml:space="preserve">enables coercive dominance,</w:t>
      </w:r>
    </w:p>
    <w:p>
      <w:pPr>
        <w:pStyle w:val="Compact"/>
        <w:numPr>
          <w:ilvl w:val="0"/>
          <w:numId w:val="1009"/>
        </w:numPr>
      </w:pPr>
      <w:r>
        <w:t xml:space="preserve">amplifies irreversible or cascading harm,</w:t>
      </w:r>
    </w:p>
    <w:p>
      <w:pPr>
        <w:pStyle w:val="FirstParagraph"/>
      </w:pPr>
      <w:r>
        <w:t xml:space="preserve">the protocol SHALL trigger:</w:t>
      </w:r>
    </w:p>
    <w:p>
      <w:pPr>
        <w:pStyle w:val="Compact"/>
        <w:numPr>
          <w:ilvl w:val="0"/>
          <w:numId w:val="1010"/>
        </w:numPr>
      </w:pPr>
      <w:r>
        <w:t xml:space="preserve">graduated restrictions,</w:t>
      </w:r>
    </w:p>
    <w:p>
      <w:pPr>
        <w:pStyle w:val="Compact"/>
        <w:numPr>
          <w:ilvl w:val="0"/>
          <w:numId w:val="1010"/>
        </w:numPr>
      </w:pPr>
      <w:r>
        <w:t xml:space="preserve">enforced divestment,</w:t>
      </w:r>
    </w:p>
    <w:p>
      <w:pPr>
        <w:pStyle w:val="Compact"/>
        <w:numPr>
          <w:ilvl w:val="0"/>
          <w:numId w:val="1010"/>
        </w:numPr>
      </w:pPr>
      <w:r>
        <w:t xml:space="preserve">partial or full reallocation.</w:t>
      </w:r>
    </w:p>
    <w:p>
      <w:pPr>
        <w:pStyle w:val="FirstParagraph"/>
      </w:pPr>
      <w:r>
        <w:t xml:space="preserve">Concentration thresholds are derived from impact metrics, not nominal valuation or market price.</w:t>
      </w:r>
    </w:p>
    <w:p>
      <w:r>
        <w:pict>
          <v:rect style="width:0;height:1.5pt" o:hralign="center" o:hrstd="t" o:hr="t"/>
        </w:pict>
      </w:r>
    </w:p>
    <w:bookmarkEnd w:id="18"/>
    <w:bookmarkStart w:id="23" w:name="X4cc979d3c370bc27bd7d7488207689bae6da757"/>
    <w:p>
      <w:pPr>
        <w:pStyle w:val="Heading3"/>
      </w:pPr>
      <w:r>
        <w:t xml:space="preserve">8. Revocation and Reallocation</w:t>
      </w:r>
    </w:p>
    <w:bookmarkStart w:id="19" w:name="X1f4e50f7071edac210011013be2f135a3ff6b09"/>
    <w:p>
      <w:pPr>
        <w:pStyle w:val="Heading4"/>
      </w:pPr>
      <w:r>
        <w:t xml:space="preserve">8.1 Revocation Triggers</w:t>
      </w:r>
    </w:p>
    <w:p>
      <w:pPr>
        <w:pStyle w:val="FirstParagraph"/>
      </w:pPr>
      <w:r>
        <w:t xml:space="preserve">Property Rights SHALL be revoked when:</w:t>
      </w:r>
    </w:p>
    <w:p>
      <w:pPr>
        <w:pStyle w:val="Compact"/>
        <w:numPr>
          <w:ilvl w:val="0"/>
          <w:numId w:val="1011"/>
        </w:numPr>
      </w:pPr>
      <w:r>
        <w:t xml:space="preserve">justice outcomes mandate Restriction, Isolation, or Exclusion,</w:t>
      </w:r>
    </w:p>
    <w:p>
      <w:pPr>
        <w:pStyle w:val="Compact"/>
        <w:numPr>
          <w:ilvl w:val="0"/>
          <w:numId w:val="1011"/>
        </w:numPr>
      </w:pPr>
      <w:r>
        <w:t xml:space="preserve">asset use causes irreversible or systemic harm,</w:t>
      </w:r>
    </w:p>
    <w:p>
      <w:pPr>
        <w:pStyle w:val="Compact"/>
        <w:numPr>
          <w:ilvl w:val="0"/>
          <w:numId w:val="1011"/>
        </w:numPr>
      </w:pPr>
      <w:r>
        <w:t xml:space="preserve">restitution obligations cannot be fulfilled.</w:t>
      </w:r>
    </w:p>
    <w:p>
      <w:pPr>
        <w:pStyle w:val="FirstParagraph"/>
      </w:pPr>
      <w:r>
        <w:t xml:space="preserve">Revocation is a</w:t>
      </w:r>
      <w:r>
        <w:t xml:space="preserve"> </w:t>
      </w:r>
      <w:r>
        <w:rPr>
          <w:b/>
          <w:bCs/>
        </w:rPr>
        <w:t xml:space="preserve">functional correction</w:t>
      </w:r>
      <w:r>
        <w:t xml:space="preserve">, not punishment.</w:t>
      </w:r>
    </w:p>
    <w:p>
      <w:r>
        <w:pict>
          <v:rect style="width:0;height:1.5pt" o:hralign="center" o:hrstd="t" o:hr="t"/>
        </w:pict>
      </w:r>
    </w:p>
    <w:bookmarkEnd w:id="19"/>
    <w:bookmarkStart w:id="20" w:name="X3f032b3aefdc6119035a639503ff4e46220f316"/>
    <w:p>
      <w:pPr>
        <w:pStyle w:val="Heading4"/>
      </w:pPr>
      <w:r>
        <w:t xml:space="preserve">8.2 Reallocation Mechanisms</w:t>
      </w:r>
    </w:p>
    <w:p>
      <w:pPr>
        <w:pStyle w:val="FirstParagraph"/>
      </w:pPr>
      <w:r>
        <w:t xml:space="preserve">Revoked assets MAY be:</w:t>
      </w:r>
    </w:p>
    <w:p>
      <w:pPr>
        <w:pStyle w:val="Compact"/>
        <w:numPr>
          <w:ilvl w:val="0"/>
          <w:numId w:val="1012"/>
        </w:numPr>
      </w:pPr>
      <w:r>
        <w:t xml:space="preserve">placed under public stewardship,</w:t>
      </w:r>
    </w:p>
    <w:p>
      <w:pPr>
        <w:pStyle w:val="Compact"/>
        <w:numPr>
          <w:ilvl w:val="0"/>
          <w:numId w:val="1012"/>
        </w:numPr>
      </w:pPr>
      <w:r>
        <w:t xml:space="preserve">reassigned to alternative Subjects,</w:t>
      </w:r>
    </w:p>
    <w:p>
      <w:pPr>
        <w:pStyle w:val="Compact"/>
        <w:numPr>
          <w:ilvl w:val="0"/>
          <w:numId w:val="1012"/>
        </w:numPr>
      </w:pPr>
      <w:r>
        <w:t xml:space="preserve">transferred to reserve or mitigation pools.</w:t>
      </w:r>
    </w:p>
    <w:p>
      <w:pPr>
        <w:pStyle w:val="FirstParagraph"/>
      </w:pPr>
      <w:r>
        <w:t xml:space="preserve">Reallocation SHALL prioritize:</w:t>
      </w:r>
    </w:p>
    <w:p>
      <w:pPr>
        <w:pStyle w:val="Compact"/>
        <w:numPr>
          <w:ilvl w:val="0"/>
          <w:numId w:val="1013"/>
        </w:numPr>
      </w:pPr>
      <w:r>
        <w:t xml:space="preserve">harm mitigation,</w:t>
      </w:r>
    </w:p>
    <w:p>
      <w:pPr>
        <w:pStyle w:val="Compact"/>
        <w:numPr>
          <w:ilvl w:val="0"/>
          <w:numId w:val="1013"/>
        </w:numPr>
      </w:pPr>
      <w:r>
        <w:t xml:space="preserve">continuity of essential services,</w:t>
      </w:r>
    </w:p>
    <w:p>
      <w:pPr>
        <w:pStyle w:val="Compact"/>
        <w:numPr>
          <w:ilvl w:val="0"/>
          <w:numId w:val="1013"/>
        </w:numPr>
      </w:pPr>
      <w:r>
        <w:t xml:space="preserve">protection of axiomatic priorities.</w:t>
      </w:r>
    </w:p>
    <w:bookmarkEnd w:id="20"/>
    <w:bookmarkStart w:id="21" w:name="reallocation-transparency-constraint"/>
    <w:p>
      <w:pPr>
        <w:pStyle w:val="Heading4"/>
      </w:pPr>
      <w:r>
        <w:t xml:space="preserve">Reallocation Transparency Constraint</w:t>
      </w:r>
    </w:p>
    <w:p>
      <w:pPr>
        <w:pStyle w:val="FirstParagraph"/>
      </w:pPr>
      <w:r>
        <w:t xml:space="preserve">All asset reallocation processes SHALL be:</w:t>
      </w:r>
    </w:p>
    <w:p>
      <w:pPr>
        <w:pStyle w:val="Compact"/>
        <w:numPr>
          <w:ilvl w:val="0"/>
          <w:numId w:val="1014"/>
        </w:numPr>
      </w:pPr>
      <w:r>
        <w:t xml:space="preserve">publicly observable,</w:t>
      </w:r>
    </w:p>
    <w:p>
      <w:pPr>
        <w:pStyle w:val="Compact"/>
        <w:numPr>
          <w:ilvl w:val="0"/>
          <w:numId w:val="1014"/>
        </w:numPr>
      </w:pPr>
      <w:r>
        <w:t xml:space="preserve">fully auditable,</w:t>
      </w:r>
    </w:p>
    <w:p>
      <w:pPr>
        <w:pStyle w:val="Compact"/>
        <w:numPr>
          <w:ilvl w:val="0"/>
          <w:numId w:val="1014"/>
        </w:numPr>
      </w:pPr>
      <w:r>
        <w:t xml:space="preserve">traceable to justice outcomes and impact constraints,</w:t>
      </w:r>
    </w:p>
    <w:p>
      <w:pPr>
        <w:pStyle w:val="Compact"/>
        <w:numPr>
          <w:ilvl w:val="0"/>
          <w:numId w:val="1014"/>
        </w:numPr>
      </w:pPr>
      <w:r>
        <w:t xml:space="preserve">executed via deterministic, rule-based procedures.</w:t>
      </w:r>
    </w:p>
    <w:p>
      <w:pPr>
        <w:pStyle w:val="FirstParagraph"/>
      </w:pPr>
      <w:r>
        <w:t xml:space="preserve">No discretionary authority, closed committee, or opaque administrative body MAY control or override asset reallocation.</w:t>
      </w:r>
    </w:p>
    <w:p>
      <w:pPr>
        <w:pStyle w:val="BodyText"/>
      </w:pPr>
      <w:r>
        <w:t xml:space="preserve">Public stewardship denotes</w:t>
      </w:r>
      <w:r>
        <w:t xml:space="preserve"> </w:t>
      </w:r>
      <w:r>
        <w:rPr>
          <w:b/>
          <w:bCs/>
        </w:rPr>
        <w:t xml:space="preserve">algorithmic custodianship under open rules</w:t>
      </w:r>
      <w:r>
        <w:t xml:space="preserve">, not bureaucratic management.</w:t>
      </w:r>
    </w:p>
    <w:bookmarkEnd w:id="21"/>
    <w:bookmarkStart w:id="22" w:name="Xf3d39ba3dc1d7a04956a266cd595a02356f235c"/>
    <w:p>
      <w:pPr>
        <w:pStyle w:val="Heading4"/>
      </w:pPr>
      <w:r>
        <w:t xml:space="preserve">8.3 Revocation Dispute Mechanism</w:t>
      </w:r>
    </w:p>
    <w:p>
      <w:pPr>
        <w:pStyle w:val="FirstParagraph"/>
      </w:pPr>
      <w:r>
        <w:t xml:space="preserve">All asset revocation events SHALL support dispute proceedings as follows:</w:t>
      </w:r>
    </w:p>
    <w:p>
      <w:pPr>
        <w:pStyle w:val="BodyText"/>
      </w:pPr>
      <w:r>
        <w:t xml:space="preserve">a)</w:t>
      </w:r>
      <w:r>
        <w:t xml:space="preserve"> </w:t>
      </w:r>
      <w:r>
        <w:rPr>
          <w:b/>
          <w:bCs/>
        </w:rPr>
        <w:t xml:space="preserve">Dispute Window:</w:t>
      </w:r>
      <w:r>
        <w:t xml:space="preserve"> </w:t>
      </w:r>
      <w:r>
        <w:t xml:space="preserve">Revocation may be disputed within thirty (30) DTI-Days of execution under DKP-4-ERROR-001.</w:t>
      </w:r>
    </w:p>
    <w:p>
      <w:pPr>
        <w:pStyle w:val="BodyText"/>
      </w:pPr>
      <w:r>
        <w:t xml:space="preserve">b)</w:t>
      </w:r>
      <w:r>
        <w:t xml:space="preserve"> </w:t>
      </w:r>
      <w:r>
        <w:rPr>
          <w:b/>
          <w:bCs/>
        </w:rPr>
        <w:t xml:space="preserve">Escrow Preservation:</w:t>
      </w:r>
      <w:r>
        <w:t xml:space="preserve"> </w:t>
      </w:r>
      <w:r>
        <w:t xml:space="preserve">Upon validated dispute filing, any reallocation proceeds or asset value equivalents SHALL be held in escrow until dispute resolution.</w:t>
      </w:r>
    </w:p>
    <w:p>
      <w:pPr>
        <w:pStyle w:val="BodyText"/>
      </w:pPr>
      <w:r>
        <w:t xml:space="preserve">c)</w:t>
      </w:r>
      <w:r>
        <w:t xml:space="preserve"> </w:t>
      </w:r>
      <w:r>
        <w:rPr>
          <w:b/>
          <w:bCs/>
        </w:rPr>
        <w:t xml:space="preserve">Restitution Claims:</w:t>
      </w:r>
      <w:r>
        <w:t xml:space="preserve"> </w:t>
      </w:r>
      <w:r>
        <w:t xml:space="preserve">Disputed revocations SHALL preserve Subject's restitution claims. If dispute succeeds:</w:t>
      </w:r>
    </w:p>
    <w:p>
      <w:pPr>
        <w:pStyle w:val="Compact"/>
        <w:numPr>
          <w:ilvl w:val="0"/>
          <w:numId w:val="1015"/>
        </w:numPr>
      </w:pPr>
      <w:r>
        <w:t xml:space="preserve">Physical assets SHALL be returned where possible</w:t>
      </w:r>
    </w:p>
    <w:p>
      <w:pPr>
        <w:pStyle w:val="Compact"/>
        <w:numPr>
          <w:ilvl w:val="0"/>
          <w:numId w:val="1015"/>
        </w:numPr>
      </w:pPr>
      <w:r>
        <w:t xml:space="preserve">Where return is impossible, equivalent value restitution SHALL be computed and allocated</w:t>
      </w:r>
    </w:p>
    <w:p>
      <w:pPr>
        <w:pStyle w:val="FirstParagraph"/>
      </w:pPr>
      <w:r>
        <w:t xml:space="preserve">d)</w:t>
      </w:r>
      <w:r>
        <w:t xml:space="preserve"> </w:t>
      </w:r>
      <w:r>
        <w:rPr>
          <w:b/>
          <w:bCs/>
        </w:rPr>
        <w:t xml:space="preserve">No Prejudice:</w:t>
      </w:r>
      <w:r>
        <w:t xml:space="preserve"> </w:t>
      </w:r>
      <w:r>
        <w:t xml:space="preserve">Filing a revocation dispute SHALL NOT constitute grounds for additional restrictions or negative justice attribution.</w:t>
      </w:r>
    </w:p>
    <w:p>
      <w:pPr>
        <w:pStyle w:val="BodyText"/>
      </w:pPr>
      <w:r>
        <w:t xml:space="preserve">e)</w:t>
      </w:r>
      <w:r>
        <w:t xml:space="preserve"> </w:t>
      </w:r>
      <w:r>
        <w:rPr>
          <w:b/>
          <w:bCs/>
        </w:rPr>
        <w:t xml:space="preserve">Epistemic Metadata:</w:t>
      </w:r>
      <w:r>
        <w:t xml:space="preserve"> </w:t>
      </w:r>
      <w:r>
        <w:t xml:space="preserve">All revocation orders SHALL carry mandatory epistemic classification per DKP-1-EPISTEMIC-BOUNDARIES-001 Section 5:</w:t>
      </w:r>
    </w:p>
    <w:p>
      <w:pPr>
        <w:pStyle w:val="Compact"/>
        <w:numPr>
          <w:ilvl w:val="0"/>
          <w:numId w:val="1016"/>
        </w:numPr>
      </w:pPr>
      <w:r>
        <w:t xml:space="preserve">validity_state: as inherited from triggering Justice output</w:t>
      </w:r>
    </w:p>
    <w:p>
      <w:pPr>
        <w:pStyle w:val="Compact"/>
        <w:numPr>
          <w:ilvl w:val="0"/>
          <w:numId w:val="1016"/>
        </w:numPr>
      </w:pPr>
      <w:r>
        <w:t xml:space="preserve">confidence_state: as propagated from Impact measurements</w:t>
      </w:r>
    </w:p>
    <w:p>
      <w:pPr>
        <w:pStyle w:val="Compact"/>
        <w:numPr>
          <w:ilvl w:val="0"/>
          <w:numId w:val="1016"/>
        </w:numPr>
      </w:pPr>
      <w:r>
        <w:t xml:space="preserve">consistency_state: as inherited from triggering Justice output or upstream epistemic metadata</w:t>
      </w:r>
    </w:p>
    <w:p>
      <w:pPr>
        <w:pStyle w:val="Compact"/>
        <w:numPr>
          <w:ilvl w:val="0"/>
          <w:numId w:val="1016"/>
        </w:numPr>
      </w:pPr>
      <w:r>
        <w:t xml:space="preserve">scope_ref: reference to specific Justice outcome</w:t>
      </w:r>
    </w:p>
    <w:p>
      <w:pPr>
        <w:pStyle w:val="Compact"/>
        <w:numPr>
          <w:ilvl w:val="0"/>
          <w:numId w:val="1016"/>
        </w:numPr>
      </w:pPr>
      <w:r>
        <w:t xml:space="preserve">revalidation_required: TRUE</w:t>
      </w:r>
    </w:p>
    <w:p>
      <w:pPr>
        <w:pStyle w:val="Compact"/>
        <w:numPr>
          <w:ilvl w:val="0"/>
          <w:numId w:val="1016"/>
        </w:numPr>
      </w:pPr>
      <w:r>
        <w:t xml:space="preserve">dispute_allowed: TRUE</w:t>
      </w:r>
    </w:p>
    <w:p>
      <w:pPr>
        <w:pStyle w:val="FirstParagraph"/>
      </w:pPr>
      <w:r>
        <w:t xml:space="preserve">Any revocation, suspension, reallocation, or dispute-related asset control output SHALL be considered non-operational and non-enforceable unless the full mandatory epistemic metadata set defined in DKP-1-EPISTEMIC-BOUNDARIES-001 Section 5 is present.</w:t>
      </w:r>
    </w:p>
    <w:p>
      <w:pPr>
        <w:pStyle w:val="BodyText"/>
      </w:pPr>
      <w:r>
        <w:t xml:space="preserve">Partial epistemic metadata SHALL invalidate the output at the point of emission. This condition SHALL NOT be deferred to audit or downstream validation layers.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03ffb35c87058aae2a3309acaa3bfa7672cb25c"/>
    <w:p>
      <w:pPr>
        <w:pStyle w:val="Heading3"/>
      </w:pPr>
      <w:r>
        <w:t xml:space="preserve">9. Natural and Critical Assets</w:t>
      </w:r>
    </w:p>
    <w:p>
      <w:pPr>
        <w:pStyle w:val="FirstParagraph"/>
      </w:pPr>
      <w:r>
        <w:t xml:space="preserve">Certain assets are designated as</w:t>
      </w:r>
      <w:r>
        <w:t xml:space="preserve"> </w:t>
      </w:r>
      <w:r>
        <w:rPr>
          <w:b/>
          <w:bCs/>
        </w:rPr>
        <w:t xml:space="preserve">Non-Privatizable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Conditionally Privatizable</w:t>
      </w:r>
      <w:r>
        <w:t xml:space="preserve">, including:</w:t>
      </w:r>
    </w:p>
    <w:p>
      <w:pPr>
        <w:pStyle w:val="Compact"/>
        <w:numPr>
          <w:ilvl w:val="0"/>
          <w:numId w:val="1017"/>
        </w:numPr>
      </w:pPr>
      <w:r>
        <w:t xml:space="preserve">biosphere-critical systems,</w:t>
      </w:r>
    </w:p>
    <w:p>
      <w:pPr>
        <w:pStyle w:val="Compact"/>
        <w:numPr>
          <w:ilvl w:val="0"/>
          <w:numId w:val="1017"/>
        </w:numPr>
      </w:pPr>
      <w:r>
        <w:t xml:space="preserve">water, air, and ecological infrastructure,</w:t>
      </w:r>
    </w:p>
    <w:p>
      <w:pPr>
        <w:pStyle w:val="Compact"/>
        <w:numPr>
          <w:ilvl w:val="0"/>
          <w:numId w:val="1017"/>
        </w:numPr>
      </w:pPr>
      <w:r>
        <w:t xml:space="preserve">essential cognitive and informational commons.</w:t>
      </w:r>
    </w:p>
    <w:p>
      <w:pPr>
        <w:pStyle w:val="FirstParagraph"/>
      </w:pPr>
      <w:r>
        <w:t xml:space="preserve">Such assets MAY only be held under strict stewardship conditions and SHALL always remain revocable.</w:t>
      </w:r>
    </w:p>
    <w:p>
      <w:r>
        <w:pict>
          <v:rect style="width:0;height:1.5pt" o:hralign="center" o:hrstd="t" o:hr="t"/>
        </w:pict>
      </w:r>
    </w:p>
    <w:bookmarkEnd w:id="24"/>
    <w:bookmarkStart w:id="25" w:name="X62c4fe12e7f6a319861732745db0f12101065a1"/>
    <w:p>
      <w:pPr>
        <w:pStyle w:val="Heading3"/>
      </w:pPr>
      <w:r>
        <w:t xml:space="preserve">10. Transfer and Inheritance</w:t>
      </w:r>
    </w:p>
    <w:p>
      <w:pPr>
        <w:pStyle w:val="FirstParagraph"/>
      </w:pPr>
      <w:r>
        <w:t xml:space="preserve">Any transfer of property rights, including inheritance, requires:</w:t>
      </w:r>
    </w:p>
    <w:p>
      <w:pPr>
        <w:pStyle w:val="Compact"/>
        <w:numPr>
          <w:ilvl w:val="0"/>
          <w:numId w:val="1018"/>
        </w:numPr>
      </w:pPr>
      <w:r>
        <w:t xml:space="preserve">explicit transfer of justice obligations,</w:t>
      </w:r>
    </w:p>
    <w:p>
      <w:pPr>
        <w:pStyle w:val="Compact"/>
        <w:numPr>
          <w:ilvl w:val="0"/>
          <w:numId w:val="1018"/>
        </w:numPr>
      </w:pPr>
      <w:r>
        <w:t xml:space="preserve">acceptance of ongoing responsibility,</w:t>
      </w:r>
    </w:p>
    <w:p>
      <w:pPr>
        <w:pStyle w:val="Compact"/>
        <w:numPr>
          <w:ilvl w:val="0"/>
          <w:numId w:val="1018"/>
        </w:numPr>
      </w:pPr>
      <w:r>
        <w:t xml:space="preserve">compliance with current impact constraints.</w:t>
      </w:r>
    </w:p>
    <w:p>
      <w:pPr>
        <w:pStyle w:val="FirstParagraph"/>
      </w:pPr>
      <w:r>
        <w:t xml:space="preserve">Inheritance SHALL NOT erase historical attribution or exempt the recipient from justice outcomes.</w:t>
      </w:r>
    </w:p>
    <w:p>
      <w:r>
        <w:pict>
          <v:rect style="width:0;height:1.5pt" o:hralign="center" o:hrstd="t" o:hr="t"/>
        </w:pict>
      </w:r>
    </w:p>
    <w:bookmarkEnd w:id="25"/>
    <w:bookmarkStart w:id="26" w:name="Xa9b70243e996fce2f1b7696fddb916c051f013b"/>
    <w:p>
      <w:pPr>
        <w:pStyle w:val="Heading3"/>
      </w:pPr>
      <w:r>
        <w:t xml:space="preserve">11. Justice-Driven Asset Access Constraint</w:t>
      </w:r>
    </w:p>
    <w:p>
      <w:pPr>
        <w:pStyle w:val="FirstParagraph"/>
      </w:pPr>
      <w:r>
        <w:t xml:space="preserve">If a Subject is placed under Restriction, Isolation, or Exclusion per DKP-1-JUSTICE-001:</w:t>
      </w:r>
    </w:p>
    <w:p>
      <w:pPr>
        <w:numPr>
          <w:ilvl w:val="0"/>
          <w:numId w:val="1019"/>
        </w:numPr>
      </w:pPr>
      <w:r>
        <w:t xml:space="preserve">control over non-essential assets SHALL be restricted or suspended,</w:t>
      </w:r>
    </w:p>
    <w:p>
      <w:pPr>
        <w:numPr>
          <w:ilvl w:val="0"/>
          <w:numId w:val="1019"/>
        </w:numPr>
      </w:pPr>
      <w:r>
        <w:t xml:space="preserve">asset-derived benefits MAY be limited,</w:t>
      </w:r>
    </w:p>
    <w:p>
      <w:pPr>
        <w:numPr>
          <w:ilvl w:val="0"/>
          <w:numId w:val="1019"/>
        </w:numPr>
      </w:pPr>
      <w:r>
        <w:t xml:space="preserve">access necessary for preservation of life SHALL be maintained</w:t>
      </w:r>
    </w:p>
    <w:p>
      <w:pPr>
        <w:numPr>
          <w:ilvl w:val="0"/>
          <w:numId w:val="1000"/>
        </w:numPr>
      </w:pPr>
      <w:r>
        <w:t xml:space="preserve">in accordance with Axiom A1.</w:t>
      </w:r>
    </w:p>
    <w:p>
      <w:pPr>
        <w:pStyle w:val="FirstParagraph"/>
      </w:pPr>
      <w:r>
        <w:t xml:space="preserve">This protocol SHALL NOT override justice outcomes.</w:t>
      </w:r>
    </w:p>
    <w:p>
      <w:r>
        <w:pict>
          <v:rect style="width:0;height:1.5pt" o:hralign="center" o:hrstd="t" o:hr="t"/>
        </w:pict>
      </w:r>
    </w:p>
    <w:bookmarkEnd w:id="26"/>
    <w:bookmarkStart w:id="28" w:name="X1da714ecc338f54dbc09d7c8576effdbdc1dd7b"/>
    <w:p>
      <w:pPr>
        <w:pStyle w:val="Heading3"/>
      </w:pPr>
      <w:r>
        <w:t xml:space="preserve">12. Transparency and Identity Binding</w:t>
      </w:r>
    </w:p>
    <w:p>
      <w:pPr>
        <w:pStyle w:val="FirstParagraph"/>
      </w:pPr>
      <w:r>
        <w:t xml:space="preserve">All asset ownership and control structures MUST be:</w:t>
      </w:r>
    </w:p>
    <w:p>
      <w:pPr>
        <w:numPr>
          <w:ilvl w:val="0"/>
          <w:numId w:val="1020"/>
        </w:numPr>
      </w:pPr>
      <w:r>
        <w:t xml:space="preserve">registered,</w:t>
      </w:r>
    </w:p>
    <w:p>
      <w:pPr>
        <w:numPr>
          <w:ilvl w:val="0"/>
          <w:numId w:val="1020"/>
        </w:numPr>
      </w:pPr>
      <w:r>
        <w:t xml:space="preserve">publicly auditable,</w:t>
      </w:r>
    </w:p>
    <w:p>
      <w:pPr>
        <w:numPr>
          <w:ilvl w:val="0"/>
          <w:numId w:val="1020"/>
        </w:numPr>
      </w:pPr>
      <w:r>
        <w:t xml:space="preserve">directly and unambiguously bindable to Subjects</w:t>
      </w:r>
    </w:p>
    <w:p>
      <w:pPr>
        <w:numPr>
          <w:ilvl w:val="0"/>
          <w:numId w:val="1000"/>
        </w:numPr>
      </w:pPr>
      <w:r>
        <w:t xml:space="preserve">as defined in DKP-1-IDENTITY-001.</w:t>
      </w:r>
    </w:p>
    <w:p>
      <w:pPr>
        <w:pStyle w:val="FirstParagraph"/>
      </w:pPr>
      <w:r>
        <w:t xml:space="preserve">Hidden ownership, shell abstractions, offshore structures, or any form of control that prevents causal attribution of impact or responsibility are forbidden.</w:t>
      </w:r>
    </w:p>
    <w:bookmarkStart w:id="27" w:name="identity-binding-requirement"/>
    <w:p>
      <w:pPr>
        <w:pStyle w:val="Heading4"/>
      </w:pPr>
      <w:r>
        <w:t xml:space="preserve">Identity Binding Requirement</w:t>
      </w:r>
    </w:p>
    <w:p>
      <w:pPr>
        <w:pStyle w:val="FirstParagraph"/>
      </w:pPr>
      <w:r>
        <w:t xml:space="preserve">Any ownership abstraction that obstructs causal attribution SHALL be treated as invalid within the system.</w:t>
      </w:r>
    </w:p>
    <w:p>
      <w:pPr>
        <w:pStyle w:val="BodyText"/>
      </w:pPr>
      <w:r>
        <w:t xml:space="preserve">This requirement is a necessary condition for the operation of DKP-1-IDENTITY-001 and cannot be waived.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461af9cbf1ae1dbbb4fe5374fe8caaee2cec184"/>
    <w:p>
      <w:pPr>
        <w:pStyle w:val="Heading3"/>
      </w:pPr>
      <w:r>
        <w:t xml:space="preserve">13. Cross-Layer Isolation</w:t>
      </w:r>
    </w:p>
    <w:p>
      <w:pPr>
        <w:pStyle w:val="FirstParagraph"/>
      </w:pPr>
      <w:r>
        <w:t xml:space="preserve">This protocol SHALL NOT:</w:t>
      </w:r>
    </w:p>
    <w:p>
      <w:pPr>
        <w:pStyle w:val="Compact"/>
        <w:numPr>
          <w:ilvl w:val="0"/>
          <w:numId w:val="1021"/>
        </w:numPr>
      </w:pPr>
      <w:r>
        <w:t xml:space="preserve">redefine justice logic,</w:t>
      </w:r>
    </w:p>
    <w:p>
      <w:pPr>
        <w:pStyle w:val="Compact"/>
        <w:numPr>
          <w:ilvl w:val="0"/>
          <w:numId w:val="1021"/>
        </w:numPr>
      </w:pPr>
      <w:r>
        <w:t xml:space="preserve">alter impact measurements,</w:t>
      </w:r>
    </w:p>
    <w:p>
      <w:pPr>
        <w:pStyle w:val="Compact"/>
        <w:numPr>
          <w:ilvl w:val="0"/>
          <w:numId w:val="1021"/>
        </w:numPr>
      </w:pPr>
      <w:r>
        <w:t xml:space="preserve">introduce policy discretion,</w:t>
      </w:r>
    </w:p>
    <w:p>
      <w:pPr>
        <w:pStyle w:val="Compact"/>
        <w:numPr>
          <w:ilvl w:val="0"/>
          <w:numId w:val="1021"/>
        </w:numPr>
      </w:pPr>
      <w:r>
        <w:t xml:space="preserve">create exemptions from axiomatic constraints.</w:t>
      </w:r>
    </w:p>
    <w:p>
      <w:pPr>
        <w:pStyle w:val="FirstParagraph"/>
      </w:pPr>
      <w:r>
        <w:t xml:space="preserve">Violation constitutes a critical architectural breach.</w:t>
      </w:r>
    </w:p>
    <w:p>
      <w:r>
        <w:pict>
          <v:rect style="width:0;height:1.5pt" o:hralign="center" o:hrstd="t" o:hr="t"/>
        </w:pict>
      </w:r>
    </w:p>
    <w:bookmarkEnd w:id="29"/>
    <w:bookmarkStart w:id="31" w:name="X02ffe642901d9b59b9c87ad2f050ec90f5ddd40"/>
    <w:p>
      <w:pPr>
        <w:pStyle w:val="Heading3"/>
      </w:pPr>
      <w:r>
        <w:t xml:space="preserve">14. Protocol Finality</w:t>
      </w:r>
    </w:p>
    <w:p>
      <w:pPr>
        <w:pStyle w:val="FirstParagraph"/>
      </w:pPr>
      <w:r>
        <w:t xml:space="preserve">This protocol is changed only through the controlled procedure of DKP-4-UPGRADE-001: proposal, simulation under DKP-8-SIMULATION-001, audit under DKP-8-AUDIT-001, acceptance conditions, activation window and rollback.</w:t>
      </w:r>
    </w:p>
    <w:p>
      <w:pPr>
        <w:pStyle w:val="BodyText"/>
      </w:pPr>
      <w:r>
        <w:t xml:space="preserve">Any modification requires:</w:t>
      </w:r>
    </w:p>
    <w:p>
      <w:pPr>
        <w:pStyle w:val="Compact"/>
        <w:numPr>
          <w:ilvl w:val="0"/>
          <w:numId w:val="1022"/>
        </w:numPr>
      </w:pPr>
      <w:r>
        <w:t xml:space="preserve">a new protocol identifier,</w:t>
      </w:r>
    </w:p>
    <w:p>
      <w:pPr>
        <w:pStyle w:val="Compact"/>
        <w:numPr>
          <w:ilvl w:val="0"/>
          <w:numId w:val="1022"/>
        </w:numPr>
      </w:pPr>
      <w:r>
        <w:t xml:space="preserve">explicit declaration of incompatibility,</w:t>
      </w:r>
    </w:p>
    <w:p>
      <w:pPr>
        <w:pStyle w:val="Compact"/>
        <w:numPr>
          <w:ilvl w:val="0"/>
          <w:numId w:val="1022"/>
        </w:numPr>
      </w:pPr>
      <w:r>
        <w:t xml:space="preserve">full-system simulation under DKP-8-SIMULATION.</w:t>
      </w:r>
    </w:p>
    <w:p>
      <w:pPr>
        <w:pStyle w:val="FirstParagraph"/>
      </w:pPr>
      <w:r>
        <w:t xml:space="preserve">Presentation-only corrections that do not change normative content are not Upgrades (DKP-4-UPGRADE-001 §3); they are recorded only by the "Last updated" date of this document.</w:t>
      </w:r>
    </w:p>
    <w:p>
      <w:pPr>
        <w:pStyle w:val="BodyText"/>
      </w:pPr>
      <w:r>
        <w:t xml:space="preserve">Edition integrity: the SHA-256 digest of the canonical source of each published edition is listed in</w:t>
      </w:r>
      <w:r>
        <w:t xml:space="preserve"> </w:t>
      </w:r>
      <w:r>
        <w:rPr>
          <w:rStyle w:val="VerbatimChar"/>
        </w:rPr>
        <w:t xml:space="preserve">SHA256SUMS.txt</w:t>
      </w:r>
      <w:r>
        <w:t xml:space="preserve"> </w:t>
      </w:r>
      <w:r>
        <w:t xml:space="preserve">of the canonical repository (github.com/anahronic/World).</w:t>
      </w:r>
    </w:p>
    <w:p>
      <w:r>
        <w:pict>
          <v:rect style="width:0;height:1.5pt" o:hralign="center" o:hrstd="t" o:hr="t"/>
        </w:pict>
      </w:r>
    </w:p>
    <w:bookmarkStart w:id="30" w:name="end-of-protocol"/>
    <w:p>
      <w:pPr>
        <w:pStyle w:val="Heading4"/>
      </w:pPr>
      <w:r>
        <w:t xml:space="preserve">END OF PROTOCOL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2026-10-04T10:23:46Z</dcterms:created>
  <dcterms:modified xsi:type="dcterms:W3CDTF">2026-10-04T10:23:46Z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