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kp-2-finance-001"/>
    <w:p>
      <w:pPr>
        <w:pStyle w:val="Heading1"/>
      </w:pPr>
      <w:r>
        <w:t xml:space="preserve">DKP-2-FINANCE-001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financial-system-protocol"/>
    <w:p>
      <w:pPr>
        <w:pStyle w:val="Heading3"/>
      </w:pPr>
      <w:r>
        <w:t xml:space="preserve">Financial System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Financial System Protocol defines how financial activity — including savings, lending, credit issuance, investment, capital allocation, and pricing of capital — operates within the Dikenocracy system.</w:t>
      </w:r>
    </w:p>
    <w:p>
      <w:pPr>
        <w:pStyle w:val="BodyText"/>
      </w:pPr>
      <w:r>
        <w:t xml:space="preserve">The protocol embeds</w:t>
      </w:r>
      <w:r>
        <w:t xml:space="preserve"> </w:t>
      </w:r>
      <w:r>
        <w:rPr>
          <w:b/>
          <w:bCs/>
        </w:rPr>
        <w:t xml:space="preserve">δίκη (justice as a function)</w:t>
      </w:r>
      <w:r>
        <w:t xml:space="preserve"> </w:t>
      </w:r>
      <w:r>
        <w:t xml:space="preserve">directly into financial mechanics, ensuring that:</w:t>
      </w:r>
    </w:p>
    <w:p>
      <w:pPr>
        <w:pStyle w:val="Compact"/>
        <w:numPr>
          <w:ilvl w:val="0"/>
          <w:numId w:val="1001"/>
        </w:numPr>
      </w:pPr>
      <w:r>
        <w:t xml:space="preserve">cost of capital reflects measured impact and responsibility,</w:t>
      </w:r>
    </w:p>
    <w:p>
      <w:pPr>
        <w:pStyle w:val="Compact"/>
        <w:numPr>
          <w:ilvl w:val="0"/>
          <w:numId w:val="1001"/>
        </w:numPr>
      </w:pPr>
      <w:r>
        <w:t xml:space="preserve">externalities are internalized deterministically,</w:t>
      </w:r>
    </w:p>
    <w:p>
      <w:pPr>
        <w:pStyle w:val="Compact"/>
        <w:numPr>
          <w:ilvl w:val="0"/>
          <w:numId w:val="1001"/>
        </w:numPr>
      </w:pPr>
      <w:r>
        <w:t xml:space="preserve">financial incentives align with long-term physical and social stability.</w:t>
      </w:r>
    </w:p>
    <w:p>
      <w:pPr>
        <w:pStyle w:val="FirstParagraph"/>
      </w:pPr>
      <w:r>
        <w:t xml:space="preserve">This protocol governs</w:t>
      </w:r>
      <w:r>
        <w:t xml:space="preserve"> </w:t>
      </w:r>
      <w:r>
        <w:rPr>
          <w:b/>
          <w:bCs/>
        </w:rPr>
        <w:t xml:space="preserve">economic mechanics</w:t>
      </w:r>
      <w:r>
        <w:t xml:space="preserve">, not policy discretion.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create or manage fiat monetary regimes,</w:t>
      </w:r>
    </w:p>
    <w:p>
      <w:pPr>
        <w:pStyle w:val="Compact"/>
        <w:numPr>
          <w:ilvl w:val="0"/>
          <w:numId w:val="1002"/>
        </w:numPr>
      </w:pPr>
      <w:r>
        <w:t xml:space="preserve">override justice outcomes,</w:t>
      </w:r>
    </w:p>
    <w:p>
      <w:pPr>
        <w:pStyle w:val="Compact"/>
        <w:numPr>
          <w:ilvl w:val="0"/>
          <w:numId w:val="1002"/>
        </w:numPr>
      </w:pPr>
      <w:r>
        <w:t xml:space="preserve">perform subjective valuation or preference aggregation,</w:t>
      </w:r>
    </w:p>
    <w:p>
      <w:pPr>
        <w:pStyle w:val="Compact"/>
        <w:numPr>
          <w:ilvl w:val="0"/>
          <w:numId w:val="1002"/>
        </w:numPr>
      </w:pPr>
      <w:r>
        <w:t xml:space="preserve">substitute for governance or social support layers.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numPr>
          <w:ilvl w:val="0"/>
          <w:numId w:val="1003"/>
        </w:numPr>
      </w:pPr>
      <w:r>
        <w:t xml:space="preserve">above all L1 protocols</w:t>
      </w:r>
    </w:p>
    <w:p>
      <w:pPr>
        <w:numPr>
          <w:ilvl w:val="0"/>
          <w:numId w:val="1000"/>
        </w:numPr>
      </w:pPr>
      <w:r>
        <w:t xml:space="preserve">(DKP-1-AXIOMS-001, DKP-1-IMPACT-001, DKP-1-IDENTITY-001, DKP-1-JUSTICE-001),</w:t>
      </w:r>
    </w:p>
    <w:p>
      <w:pPr>
        <w:numPr>
          <w:ilvl w:val="0"/>
          <w:numId w:val="1003"/>
        </w:numPr>
      </w:pPr>
      <w:r>
        <w:t xml:space="preserve">below social, infrastructural, and intersystem protocols (L5–L6),</w:t>
      </w:r>
    </w:p>
    <w:p>
      <w:pPr>
        <w:numPr>
          <w:ilvl w:val="0"/>
          <w:numId w:val="1003"/>
        </w:numPr>
      </w:pPr>
      <w:r>
        <w:t xml:space="preserve">alongside security and fail-safe mechanisms (L3–L4).</w:t>
      </w:r>
    </w:p>
    <w:p>
      <w:pPr>
        <w:pStyle w:val="FirstParagraph"/>
      </w:pPr>
      <w:r>
        <w:t xml:space="preserve">All financial computations MUST be traceable to:</w:t>
      </w:r>
    </w:p>
    <w:p>
      <w:pPr>
        <w:pStyle w:val="Compact"/>
        <w:numPr>
          <w:ilvl w:val="0"/>
          <w:numId w:val="1004"/>
        </w:numPr>
      </w:pPr>
      <w:r>
        <w:t xml:space="preserve">measured impact outputs (DKP-1-IMPACT-001),</w:t>
      </w:r>
    </w:p>
    <w:p>
      <w:pPr>
        <w:pStyle w:val="Compact"/>
        <w:numPr>
          <w:ilvl w:val="0"/>
          <w:numId w:val="1004"/>
        </w:numPr>
      </w:pPr>
      <w:r>
        <w:t xml:space="preserve">responsibility bindings (DKP-1-IDENTITY-001),</w:t>
      </w:r>
    </w:p>
    <w:p>
      <w:pPr>
        <w:pStyle w:val="Compact"/>
        <w:numPr>
          <w:ilvl w:val="0"/>
          <w:numId w:val="1004"/>
        </w:numPr>
      </w:pPr>
      <w:r>
        <w:t xml:space="preserve">justice outcomes (DKP-1-JUSTICE-001),</w:t>
      </w:r>
    </w:p>
    <w:p>
      <w:pPr>
        <w:pStyle w:val="Compact"/>
        <w:numPr>
          <w:ilvl w:val="0"/>
          <w:numId w:val="1004"/>
        </w:numPr>
      </w:pPr>
      <w:r>
        <w:t xml:space="preserve">axiomatic constraints (DKP-1-AXIOMS-001).</w:t>
      </w:r>
    </w:p>
    <w:p>
      <w:r>
        <w:pict>
          <v:rect style="width:0;height:1.5pt" o:hralign="center" o:hrstd="t" o:hr="t"/>
        </w:pict>
      </w:r>
    </w:p>
    <w:bookmarkEnd w:id="11"/>
    <w:bookmarkStart w:id="14" w:name="Xf6a68269abd10096f7ce4f20967504759e347cd"/>
    <w:p>
      <w:pPr>
        <w:pStyle w:val="Heading3"/>
      </w:pPr>
      <w:r>
        <w:t xml:space="preserve">3. Core Economic Units</w:t>
      </w:r>
    </w:p>
    <w:bookmarkStart w:id="12" w:name="X8f637405c3e72c8c6b749a177692bb9c1788940"/>
    <w:p>
      <w:pPr>
        <w:pStyle w:val="Heading4"/>
      </w:pPr>
      <w:r>
        <w:t xml:space="preserve">3.1 Capital Units (CU)</w:t>
      </w:r>
    </w:p>
    <w:p>
      <w:pPr>
        <w:pStyle w:val="FirstParagraph"/>
      </w:pPr>
      <w:r>
        <w:rPr>
          <w:b/>
          <w:bCs/>
        </w:rPr>
        <w:t xml:space="preserve">Capital Units (CU)</w:t>
      </w:r>
      <w:r>
        <w:t xml:space="preserve"> </w:t>
      </w:r>
      <w:r>
        <w:t xml:space="preserve">are unitless, fungible representations of deployable economic capacity within the system.</w:t>
      </w:r>
    </w:p>
    <w:p>
      <w:pPr>
        <w:pStyle w:val="BodyText"/>
      </w:pPr>
      <w:r>
        <w:t xml:space="preserve">CU represent</w:t>
      </w:r>
      <w:r>
        <w:t xml:space="preserve"> </w:t>
      </w:r>
      <w:r>
        <w:rPr>
          <w:b/>
          <w:bCs/>
        </w:rPr>
        <w:t xml:space="preserve">productive capability net of justice-weighted externalities</w:t>
      </w:r>
      <w:r>
        <w:t xml:space="preserve">, not nominal wealth.</w:t>
      </w:r>
    </w:p>
    <w:p>
      <w:pPr>
        <w:pStyle w:val="BodyText"/>
      </w:pPr>
      <w:r>
        <w:t xml:space="preserve">All CU flows are recorded on a deterministic, auditable ledger.</w:t>
      </w:r>
    </w:p>
    <w:p>
      <w:r>
        <w:pict>
          <v:rect style="width:0;height:1.5pt" o:hralign="center" o:hrstd="t" o:hr="t"/>
        </w:pict>
      </w:r>
    </w:p>
    <w:bookmarkEnd w:id="12"/>
    <w:bookmarkStart w:id="13" w:name="X2066a368f16d8d8dafa82062fae32dbb925f1cd"/>
    <w:p>
      <w:pPr>
        <w:pStyle w:val="Heading4"/>
      </w:pPr>
      <w:r>
        <w:t xml:space="preserve">3.2 Justice-Weighted Cost of Capital (JWCoC)</w:t>
      </w:r>
    </w:p>
    <w:p>
      <w:pPr>
        <w:pStyle w:val="FirstParagraph"/>
      </w:pPr>
      <w:r>
        <w:t xml:space="preserve">The cost of capital is determined as a deterministic function of:</w:t>
      </w:r>
    </w:p>
    <w:p>
      <w:pPr>
        <w:pStyle w:val="Compact"/>
        <w:numPr>
          <w:ilvl w:val="0"/>
          <w:numId w:val="1005"/>
        </w:numPr>
      </w:pPr>
      <w:r>
        <w:t xml:space="preserve">historical justice outcomes associated with a Subject,</w:t>
      </w:r>
    </w:p>
    <w:p>
      <w:pPr>
        <w:pStyle w:val="Compact"/>
        <w:numPr>
          <w:ilvl w:val="0"/>
          <w:numId w:val="1005"/>
        </w:numPr>
      </w:pPr>
      <w:r>
        <w:t xml:space="preserve">projected impact risks across relevant channels,</w:t>
      </w:r>
    </w:p>
    <w:p>
      <w:pPr>
        <w:pStyle w:val="Compact"/>
        <w:numPr>
          <w:ilvl w:val="0"/>
          <w:numId w:val="1005"/>
        </w:numPr>
      </w:pPr>
      <w:r>
        <w:t xml:space="preserve">axiomatic reference bounds and safety margins.</w:t>
      </w:r>
    </w:p>
    <w:p>
      <w:pPr>
        <w:pStyle w:val="FirstParagraph"/>
      </w:pPr>
      <w:r>
        <w:t xml:space="preserve">Positive justice contribution reduces cost of capital. Negative or risky impact exposure increases cost of capital.</w:t>
      </w:r>
    </w:p>
    <w:p>
      <w:pPr>
        <w:pStyle w:val="BodyText"/>
      </w:pPr>
      <w:r>
        <w:t xml:space="preserve">There is no discretionary pricing of risk.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ca244bb8a9a8a7f4bb79aa8a4b50346036a58ea"/>
    <w:p>
      <w:pPr>
        <w:pStyle w:val="Heading3"/>
      </w:pPr>
      <w:r>
        <w:t xml:space="preserve">4. Time, Risk, and Capital Pricing</w:t>
      </w:r>
    </w:p>
    <w:bookmarkStart w:id="15" w:name="X73842807eb27e7e4545ba470305ea77a7eaba58"/>
    <w:p>
      <w:pPr>
        <w:pStyle w:val="Heading4"/>
      </w:pPr>
      <w:r>
        <w:t xml:space="preserve">4.1 Justice-Anchored Interest</w:t>
      </w:r>
    </w:p>
    <w:p>
      <w:pPr>
        <w:pStyle w:val="FirstParagraph"/>
      </w:pPr>
      <w:r>
        <w:t xml:space="preserve">Interest rates are computed as a function of:</w:t>
      </w:r>
    </w:p>
    <w:p>
      <w:pPr>
        <w:pStyle w:val="Compact"/>
        <w:numPr>
          <w:ilvl w:val="0"/>
          <w:numId w:val="1006"/>
        </w:numPr>
      </w:pPr>
      <w:r>
        <w:t xml:space="preserve">justice burden carried by the borrower,</w:t>
      </w:r>
    </w:p>
    <w:p>
      <w:pPr>
        <w:pStyle w:val="Compact"/>
        <w:numPr>
          <w:ilvl w:val="0"/>
          <w:numId w:val="1006"/>
        </w:numPr>
      </w:pPr>
      <w:r>
        <w:t xml:space="preserve">impact volatility and externality exposure,</w:t>
      </w:r>
    </w:p>
    <w:p>
      <w:pPr>
        <w:pStyle w:val="Compact"/>
        <w:numPr>
          <w:ilvl w:val="0"/>
          <w:numId w:val="1006"/>
        </w:numPr>
      </w:pPr>
      <w:r>
        <w:t xml:space="preserve">reversibility and mitigation capacity.</w:t>
      </w:r>
    </w:p>
    <w:p>
      <w:pPr>
        <w:pStyle w:val="FirstParagraph"/>
      </w:pPr>
      <w:r>
        <w:t xml:space="preserve">Interest is</w:t>
      </w:r>
      <w:r>
        <w:t xml:space="preserve"> </w:t>
      </w:r>
      <w:r>
        <w:rPr>
          <w:b/>
          <w:bCs/>
        </w:rPr>
        <w:t xml:space="preserve">not compensation for impatience</w:t>
      </w:r>
      <w:r>
        <w:t xml:space="preserve">, but a pricing of</w:t>
      </w:r>
      <w:r>
        <w:t xml:space="preserve"> </w:t>
      </w:r>
      <w:r>
        <w:rPr>
          <w:b/>
          <w:bCs/>
        </w:rPr>
        <w:t xml:space="preserve">measured risk and justice imbalance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0c7721aa21ebd887ba46b9e5c65e9255823b05"/>
    <w:p>
      <w:pPr>
        <w:pStyle w:val="Heading4"/>
      </w:pPr>
      <w:r>
        <w:t xml:space="preserve">4.2 Time Value of Capital (Strict Constraint)</w:t>
      </w:r>
    </w:p>
    <w:p>
      <w:pPr>
        <w:pStyle w:val="FirstParagraph"/>
      </w:pPr>
      <w:r>
        <w:t xml:space="preserve">The system explicitly</w:t>
      </w:r>
      <w:r>
        <w:t xml:space="preserve"> </w:t>
      </w:r>
      <w:r>
        <w:rPr>
          <w:b/>
          <w:bCs/>
        </w:rPr>
        <w:t xml:space="preserve">rejects subjective time preference</w:t>
      </w:r>
      <w:r>
        <w:t xml:space="preserve">.</w:t>
      </w:r>
    </w:p>
    <w:bookmarkEnd w:id="16"/>
    <w:bookmarkStart w:id="17" w:name="explicit-time-preference-prohibition"/>
    <w:p>
      <w:pPr>
        <w:pStyle w:val="Heading4"/>
      </w:pPr>
      <w:r>
        <w:t xml:space="preserve">Explicit Time Preference Prohibition</w:t>
      </w:r>
    </w:p>
    <w:p>
      <w:pPr>
        <w:pStyle w:val="FirstParagraph"/>
      </w:pPr>
      <w:r>
        <w:t xml:space="preserve">Subjective time preference, impatience discounting, or utility-based devaluation of future outcomes SHALL NOT be used in any financial computation within this protocol.</w:t>
      </w:r>
    </w:p>
    <w:p>
      <w:pPr>
        <w:pStyle w:val="BodyText"/>
      </w:pPr>
      <w:r>
        <w:t xml:space="preserve">Temporal discounting is permitted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as a consequence of measurable changes in projected impact channels over time, as defined by DKP-1-IMPACT-001.</w:t>
      </w:r>
    </w:p>
    <w:p>
      <w:pPr>
        <w:pStyle w:val="BodyText"/>
      </w:pPr>
      <w:r>
        <w:t xml:space="preserve">For avoidance of doubt, the absence of subjective discounting does not imply zero time sensitivity.</w:t>
      </w:r>
    </w:p>
    <w:p>
      <w:pPr>
        <w:pStyle w:val="BodyText"/>
      </w:pPr>
      <w:r>
        <w:t xml:space="preserve">Time remains a structurally relevant dimension through impact evolution, risk accumulation, reversibility decay, and exposure duration, all of which are evaluated via physically measurable impact channels rather than subjective preference functions.</w:t>
      </w:r>
    </w:p>
    <w:p>
      <w:pPr>
        <w:pStyle w:val="BodyText"/>
      </w:pPr>
      <w:r>
        <w:t xml:space="preserve">This constraint is mandatory and reflects</w:t>
      </w:r>
      <w:r>
        <w:t xml:space="preserve"> </w:t>
      </w:r>
      <w:r>
        <w:rPr>
          <w:b/>
          <w:bCs/>
        </w:rPr>
        <w:t xml:space="preserve">Axiom A2</w:t>
      </w:r>
      <w:r>
        <w:t xml:space="preserve"> </w:t>
      </w:r>
      <w:r>
        <w:rPr>
          <w:b/>
          <w:bCs/>
        </w:rPr>
        <w:t xml:space="preserve">(Intergenerational Responsibility)</w:t>
      </w:r>
      <w:r>
        <w:t xml:space="preserve"> </w:t>
      </w:r>
      <w:r>
        <w:t xml:space="preserve">as defined in DKP-1-AXIOMS-001.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b7aa121d7a47ac68bd339f4850c93289a53a599"/>
    <w:p>
      <w:pPr>
        <w:pStyle w:val="Heading3"/>
      </w:pPr>
      <w:r>
        <w:t xml:space="preserve">5. Credit and Lending</w:t>
      </w:r>
    </w:p>
    <w:bookmarkStart w:id="19" w:name="Xbdc393ee6400e0cd2f65cdb5d147d879079c2d9"/>
    <w:p>
      <w:pPr>
        <w:pStyle w:val="Heading4"/>
      </w:pPr>
      <w:r>
        <w:t xml:space="preserve">5.1 Credit Issuance</w:t>
      </w:r>
    </w:p>
    <w:p>
      <w:pPr>
        <w:pStyle w:val="FirstParagraph"/>
      </w:pPr>
      <w:r>
        <w:t xml:space="preserve">Credit MAY be issued only if:</w:t>
      </w:r>
    </w:p>
    <w:p>
      <w:pPr>
        <w:pStyle w:val="BodyText"/>
      </w:pPr>
      <w:r>
        <w:t xml:space="preserve">a) projected justice-weighted productive output is sufficient for repayment, b) expected impact does not violate axiomatic bounds, c) aggregate exposure remains within systemic safety margins.</w:t>
      </w:r>
    </w:p>
    <w:p>
      <w:pPr>
        <w:pStyle w:val="BodyText"/>
      </w:pPr>
      <w:r>
        <w:t xml:space="preserve">Credit is a</w:t>
      </w:r>
      <w:r>
        <w:t xml:space="preserve"> </w:t>
      </w:r>
      <w:r>
        <w:rPr>
          <w:b/>
          <w:bCs/>
        </w:rPr>
        <w:t xml:space="preserve">temporary imbalance</w:t>
      </w:r>
      <w:r>
        <w:t xml:space="preserve">, not a right.</w:t>
      </w:r>
    </w:p>
    <w:p>
      <w:r>
        <w:pict>
          <v:rect style="width:0;height:1.5pt" o:hralign="center" o:hrstd="t" o:hr="t"/>
        </w:pict>
      </w:r>
    </w:p>
    <w:bookmarkEnd w:id="19"/>
    <w:bookmarkStart w:id="20" w:name="X98157acd1739c93a558a410b471b2c7819c12b6"/>
    <w:p>
      <w:pPr>
        <w:pStyle w:val="Heading4"/>
      </w:pPr>
      <w:r>
        <w:t xml:space="preserve">5.2 Credit Limits</w:t>
      </w:r>
    </w:p>
    <w:p>
      <w:pPr>
        <w:pStyle w:val="FirstParagraph"/>
      </w:pPr>
      <w:r>
        <w:t xml:space="preserve">Credit limits are dynamically computed based on:</w:t>
      </w:r>
    </w:p>
    <w:p>
      <w:pPr>
        <w:pStyle w:val="Compact"/>
        <w:numPr>
          <w:ilvl w:val="0"/>
          <w:numId w:val="1007"/>
        </w:numPr>
      </w:pPr>
      <w:r>
        <w:t xml:space="preserve">justice history of the Subject,</w:t>
      </w:r>
    </w:p>
    <w:p>
      <w:pPr>
        <w:pStyle w:val="Compact"/>
        <w:numPr>
          <w:ilvl w:val="0"/>
          <w:numId w:val="1007"/>
        </w:numPr>
      </w:pPr>
      <w:r>
        <w:t xml:space="preserve">projected impact correlation,</w:t>
      </w:r>
    </w:p>
    <w:p>
      <w:pPr>
        <w:pStyle w:val="Compact"/>
        <w:numPr>
          <w:ilvl w:val="0"/>
          <w:numId w:val="1007"/>
        </w:numPr>
      </w:pPr>
      <w:r>
        <w:t xml:space="preserve">systemic stress indicators.</w:t>
      </w:r>
    </w:p>
    <w:p>
      <w:pPr>
        <w:pStyle w:val="FirstParagraph"/>
      </w:pPr>
      <w:r>
        <w:t xml:space="preserve">No Subject may increase leverage if doing so raises the probability of axiom-bound violation.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4b3b4892399122fafd34456f628a0cbdd2317c7"/>
    <w:p>
      <w:pPr>
        <w:pStyle w:val="Heading3"/>
      </w:pPr>
      <w:r>
        <w:t xml:space="preserve">6. Savings and Reserves</w:t>
      </w:r>
    </w:p>
    <w:bookmarkStart w:id="22" w:name="Xcb2c8c0c9a84d100cd53e8fabddd6dc1c3352a5"/>
    <w:p>
      <w:pPr>
        <w:pStyle w:val="Heading4"/>
      </w:pPr>
      <w:r>
        <w:t xml:space="preserve">6.1 Savings</w:t>
      </w:r>
    </w:p>
    <w:p>
      <w:pPr>
        <w:pStyle w:val="FirstParagraph"/>
      </w:pPr>
      <w:r>
        <w:t xml:space="preserve">Savings are CU held in reserve and may generate returns derived from:</w:t>
      </w:r>
    </w:p>
    <w:p>
      <w:pPr>
        <w:pStyle w:val="Compact"/>
        <w:numPr>
          <w:ilvl w:val="0"/>
          <w:numId w:val="1008"/>
        </w:numPr>
      </w:pPr>
      <w:r>
        <w:t xml:space="preserve">duration of deployment,</w:t>
      </w:r>
    </w:p>
    <w:p>
      <w:pPr>
        <w:pStyle w:val="Compact"/>
        <w:numPr>
          <w:ilvl w:val="0"/>
          <w:numId w:val="1008"/>
        </w:numPr>
      </w:pPr>
      <w:r>
        <w:t xml:space="preserve">justice-weighted performance of deployed capital,</w:t>
      </w:r>
    </w:p>
    <w:p>
      <w:pPr>
        <w:pStyle w:val="Compact"/>
        <w:numPr>
          <w:ilvl w:val="0"/>
          <w:numId w:val="1008"/>
        </w:numPr>
      </w:pPr>
      <w:r>
        <w:t xml:space="preserve">measured systemic risk.</w:t>
      </w:r>
    </w:p>
    <w:p>
      <w:pPr>
        <w:pStyle w:val="FirstParagraph"/>
      </w:pPr>
      <w:r>
        <w:t xml:space="preserve">Savings returns are deterministic and fully auditable.</w:t>
      </w:r>
    </w:p>
    <w:p>
      <w:r>
        <w:pict>
          <v:rect style="width:0;height:1.5pt" o:hralign="center" o:hrstd="t" o:hr="t"/>
        </w:pict>
      </w:r>
    </w:p>
    <w:bookmarkEnd w:id="22"/>
    <w:bookmarkStart w:id="23" w:name="X0b912a46e1cecc6eb6679d517b5f8572b6d7b75"/>
    <w:p>
      <w:pPr>
        <w:pStyle w:val="Heading4"/>
      </w:pPr>
      <w:r>
        <w:t xml:space="preserve">6.2 Systemic Reserve Pools (SRP)</w:t>
      </w:r>
    </w:p>
    <w:p>
      <w:pPr>
        <w:pStyle w:val="FirstParagraph"/>
      </w:pPr>
      <w:r>
        <w:t xml:space="preserve">Systemic Reserve Pools exist to:</w:t>
      </w:r>
    </w:p>
    <w:p>
      <w:pPr>
        <w:pStyle w:val="Compact"/>
        <w:numPr>
          <w:ilvl w:val="0"/>
          <w:numId w:val="1009"/>
        </w:numPr>
      </w:pPr>
      <w:r>
        <w:t xml:space="preserve">absorb defaults,</w:t>
      </w:r>
    </w:p>
    <w:p>
      <w:pPr>
        <w:pStyle w:val="Compact"/>
        <w:numPr>
          <w:ilvl w:val="0"/>
          <w:numId w:val="1009"/>
        </w:numPr>
      </w:pPr>
      <w:r>
        <w:t xml:space="preserve">fund restitution obligations,</w:t>
      </w:r>
    </w:p>
    <w:p>
      <w:pPr>
        <w:pStyle w:val="Compact"/>
        <w:numPr>
          <w:ilvl w:val="0"/>
          <w:numId w:val="1009"/>
        </w:numPr>
      </w:pPr>
      <w:r>
        <w:t xml:space="preserve">prevent cascading systemic failure.</w:t>
      </w:r>
    </w:p>
    <w:p>
      <w:pPr>
        <w:pStyle w:val="FirstParagraph"/>
      </w:pPr>
      <w:r>
        <w:t xml:space="preserve">Reserve sizing is impact-based, not percentage-based.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bb19894709e76f2a2d6edc3058fc4b6d1282c0c"/>
    <w:p>
      <w:pPr>
        <w:pStyle w:val="Heading3"/>
      </w:pPr>
      <w:r>
        <w:t xml:space="preserve">7. Investment and Capital Allocation</w:t>
      </w:r>
    </w:p>
    <w:p>
      <w:pPr>
        <w:pStyle w:val="FirstParagraph"/>
      </w:pPr>
      <w:r>
        <w:t xml:space="preserve">Capital allocation decisions SHALL be driven by:</w:t>
      </w:r>
    </w:p>
    <w:p>
      <w:pPr>
        <w:pStyle w:val="Compact"/>
        <w:numPr>
          <w:ilvl w:val="0"/>
          <w:numId w:val="1010"/>
        </w:numPr>
      </w:pPr>
      <w:r>
        <w:t xml:space="preserve">expected net justice output,</w:t>
      </w:r>
    </w:p>
    <w:p>
      <w:pPr>
        <w:pStyle w:val="Compact"/>
        <w:numPr>
          <w:ilvl w:val="0"/>
          <w:numId w:val="1010"/>
        </w:numPr>
      </w:pPr>
      <w:r>
        <w:t xml:space="preserve">impact risk envelopes,</w:t>
      </w:r>
    </w:p>
    <w:p>
      <w:pPr>
        <w:pStyle w:val="Compact"/>
        <w:numPr>
          <w:ilvl w:val="0"/>
          <w:numId w:val="1010"/>
        </w:numPr>
      </w:pPr>
      <w:r>
        <w:t xml:space="preserve">alignment with axiomatic priorities.</w:t>
      </w:r>
    </w:p>
    <w:p>
      <w:pPr>
        <w:pStyle w:val="FirstParagraph"/>
      </w:pPr>
      <w:r>
        <w:t xml:space="preserve">Speculative or purely price-driven allocation is forbidden.</w:t>
      </w:r>
    </w:p>
    <w:p>
      <w:r>
        <w:pict>
          <v:rect style="width:0;height:1.5pt" o:hralign="center" o:hrstd="t" o:hr="t"/>
        </w:pict>
      </w:r>
    </w:p>
    <w:bookmarkEnd w:id="25"/>
    <w:bookmarkStart w:id="28" w:name="X9eb43824ee432816fc8c7311cdad0ea6b909982"/>
    <w:p>
      <w:pPr>
        <w:pStyle w:val="Heading3"/>
      </w:pPr>
      <w:r>
        <w:t xml:space="preserve">8. Default and Financial Restitution</w:t>
      </w:r>
    </w:p>
    <w:bookmarkStart w:id="26" w:name="X81894b47b2edc28e8e7ad2b9f6b8467f14e81eb"/>
    <w:p>
      <w:pPr>
        <w:pStyle w:val="Heading4"/>
      </w:pPr>
      <w:r>
        <w:t xml:space="preserve">8.1 Default Conditions</w:t>
      </w:r>
    </w:p>
    <w:p>
      <w:pPr>
        <w:pStyle w:val="FirstParagraph"/>
      </w:pPr>
      <w:r>
        <w:t xml:space="preserve">A default occurs when:</w:t>
      </w:r>
    </w:p>
    <w:p>
      <w:pPr>
        <w:pStyle w:val="Compact"/>
        <w:numPr>
          <w:ilvl w:val="0"/>
          <w:numId w:val="1011"/>
        </w:numPr>
      </w:pPr>
      <w:r>
        <w:t xml:space="preserve">repayment cannot be achieved within a justice-defined horizon, and</w:t>
      </w:r>
    </w:p>
    <w:p>
      <w:pPr>
        <w:pStyle w:val="Compact"/>
        <w:numPr>
          <w:ilvl w:val="0"/>
          <w:numId w:val="1011"/>
        </w:numPr>
      </w:pPr>
      <w:r>
        <w:t xml:space="preserve">continued exposure threatens axiomatic bounds.</w:t>
      </w:r>
    </w:p>
    <w:p>
      <w:pPr>
        <w:pStyle w:val="FirstParagraph"/>
      </w:pPr>
      <w:r>
        <w:t xml:space="preserve">Defaults trigger</w:t>
      </w:r>
      <w:r>
        <w:t xml:space="preserve"> </w:t>
      </w:r>
      <w:r>
        <w:rPr>
          <w:b/>
          <w:bCs/>
        </w:rPr>
        <w:t xml:space="preserve">justice-defined outcomes</w:t>
      </w:r>
      <w:r>
        <w:t xml:space="preserve">, not punishment.</w:t>
      </w:r>
    </w:p>
    <w:p>
      <w:r>
        <w:pict>
          <v:rect style="width:0;height:1.5pt" o:hralign="center" o:hrstd="t" o:hr="t"/>
        </w:pict>
      </w:r>
    </w:p>
    <w:bookmarkEnd w:id="26"/>
    <w:bookmarkStart w:id="27" w:name="Xaba3dc14e1a73c11104c3a8d760d24bfa84087e"/>
    <w:p>
      <w:pPr>
        <w:pStyle w:val="Heading4"/>
      </w:pPr>
      <w:r>
        <w:t xml:space="preserve">8.2 Restitution Handling</w:t>
      </w:r>
    </w:p>
    <w:p>
      <w:pPr>
        <w:pStyle w:val="FirstParagraph"/>
      </w:pPr>
      <w:r>
        <w:t xml:space="preserve">Restitution MAY include:</w:t>
      </w:r>
    </w:p>
    <w:p>
      <w:pPr>
        <w:pStyle w:val="Compact"/>
        <w:numPr>
          <w:ilvl w:val="0"/>
          <w:numId w:val="1012"/>
        </w:numPr>
      </w:pPr>
      <w:r>
        <w:t xml:space="preserve">reserve deployment,</w:t>
      </w:r>
    </w:p>
    <w:p>
      <w:pPr>
        <w:pStyle w:val="Compact"/>
        <w:numPr>
          <w:ilvl w:val="0"/>
          <w:numId w:val="1012"/>
        </w:numPr>
      </w:pPr>
      <w:r>
        <w:t xml:space="preserve">obligation restructuring,</w:t>
      </w:r>
    </w:p>
    <w:p>
      <w:pPr>
        <w:pStyle w:val="Compact"/>
        <w:numPr>
          <w:ilvl w:val="0"/>
          <w:numId w:val="1012"/>
        </w:numPr>
      </w:pPr>
      <w:r>
        <w:t xml:space="preserve">proportional loss allocation.</w:t>
      </w:r>
    </w:p>
    <w:p>
      <w:pPr>
        <w:pStyle w:val="FirstParagraph"/>
      </w:pPr>
      <w:r>
        <w:t xml:space="preserve">Restitution is bounded by measurable damage and justice outcomes.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b3b57e4881065429d57977a7e49ad7689c3584b"/>
    <w:p>
      <w:pPr>
        <w:pStyle w:val="Heading3"/>
      </w:pPr>
      <w:r>
        <w:t xml:space="preserve">9. Leverage and Systemic Risk</w:t>
      </w:r>
    </w:p>
    <w:p>
      <w:pPr>
        <w:pStyle w:val="FirstParagraph"/>
      </w:pPr>
      <w:r>
        <w:t xml:space="preserve">Leverage SHALL be constrained such that:</w:t>
      </w:r>
    </w:p>
    <w:p>
      <w:pPr>
        <w:pStyle w:val="Compact"/>
        <w:numPr>
          <w:ilvl w:val="0"/>
          <w:numId w:val="1013"/>
        </w:numPr>
      </w:pPr>
      <w:r>
        <w:t xml:space="preserve">amplification of negative impact remains below safety thresholds,</w:t>
      </w:r>
    </w:p>
    <w:p>
      <w:pPr>
        <w:pStyle w:val="Compact"/>
        <w:numPr>
          <w:ilvl w:val="0"/>
          <w:numId w:val="1013"/>
        </w:numPr>
      </w:pPr>
      <w:r>
        <w:t xml:space="preserve">correlated failures cannot cascade beyond reserve capacity.</w:t>
      </w:r>
    </w:p>
    <w:p>
      <w:pPr>
        <w:pStyle w:val="FirstParagraph"/>
      </w:pPr>
      <w:r>
        <w:t xml:space="preserve">Leverage limits are impact-based, not volatility-based.</w:t>
      </w:r>
    </w:p>
    <w:p>
      <w:r>
        <w:pict>
          <v:rect style="width:0;height:1.5pt" o:hralign="center" o:hrstd="t" o:hr="t"/>
        </w:pict>
      </w:r>
    </w:p>
    <w:bookmarkEnd w:id="29"/>
    <w:bookmarkStart w:id="30" w:name="X975be70a673405fa1dbedb73e4c03bc420fc1b3"/>
    <w:p>
      <w:pPr>
        <w:pStyle w:val="Heading3"/>
      </w:pPr>
      <w:r>
        <w:t xml:space="preserve">10. Interoperability with External Financial Systems</w:t>
      </w:r>
    </w:p>
    <w:p>
      <w:pPr>
        <w:pStyle w:val="FirstParagraph"/>
      </w:pPr>
      <w:r>
        <w:t xml:space="preserve">When interfacing with external systems:</w:t>
      </w:r>
    </w:p>
    <w:p>
      <w:pPr>
        <w:pStyle w:val="Compact"/>
        <w:numPr>
          <w:ilvl w:val="0"/>
          <w:numId w:val="1014"/>
        </w:numPr>
      </w:pPr>
      <w:r>
        <w:t xml:space="preserve">all values MUST be translated into justice-weighted internal equivalents,</w:t>
      </w:r>
    </w:p>
    <w:p>
      <w:pPr>
        <w:pStyle w:val="Compact"/>
        <w:numPr>
          <w:ilvl w:val="0"/>
          <w:numId w:val="1014"/>
        </w:numPr>
      </w:pPr>
      <w:r>
        <w:t xml:space="preserve">external risk MUST be fully internalized before deployment.</w:t>
      </w:r>
    </w:p>
    <w:p>
      <w:pPr>
        <w:pStyle w:val="FirstParagraph"/>
      </w:pPr>
      <w:r>
        <w:t xml:space="preserve">No external financial structure may bypass justice constraints.</w:t>
      </w:r>
    </w:p>
    <w:p>
      <w:r>
        <w:pict>
          <v:rect style="width:0;height:1.5pt" o:hralign="center" o:hrstd="t" o:hr="t"/>
        </w:pict>
      </w:r>
    </w:p>
    <w:bookmarkEnd w:id="30"/>
    <w:bookmarkStart w:id="33" w:name="X073804bdace70abc48f00b4be179fc82f250a6f"/>
    <w:p>
      <w:pPr>
        <w:pStyle w:val="Heading3"/>
      </w:pPr>
      <w:r>
        <w:t xml:space="preserve">11. Justice-Driven Financial Access Constraint</w:t>
      </w:r>
    </w:p>
    <w:bookmarkStart w:id="31" w:name="X2afb3edbca810f96356c5e0b9712145144b03cd"/>
    <w:p>
      <w:pPr>
        <w:pStyle w:val="Heading4"/>
      </w:pPr>
      <w:r>
        <w:t xml:space="preserve">11.1 Automatic Suspension under Exclusion</w:t>
      </w:r>
    </w:p>
    <w:p>
      <w:pPr>
        <w:pStyle w:val="FirstParagraph"/>
      </w:pPr>
      <w:r>
        <w:t xml:space="preserve">If a Subject is assigned to the</w:t>
      </w:r>
      <w:r>
        <w:t xml:space="preserve"> </w:t>
      </w:r>
      <w:r>
        <w:rPr>
          <w:b/>
          <w:bCs/>
        </w:rPr>
        <w:t xml:space="preserve">Exclusion Domain</w:t>
      </w:r>
      <w:r>
        <w:t xml:space="preserve"> </w:t>
      </w:r>
      <w:r>
        <w:t xml:space="preserve">under DKP-1-JUSTICE-001, all financial access governed by this protocol SHALL be automatically suspended.</w:t>
      </w:r>
    </w:p>
    <w:p>
      <w:pPr>
        <w:pStyle w:val="BodyText"/>
      </w:pPr>
      <w:r>
        <w:t xml:space="preserve">This suspension is</w:t>
      </w:r>
      <w:r>
        <w:t xml:space="preserve"> </w:t>
      </w:r>
      <w:r>
        <w:rPr>
          <w:b/>
          <w:bCs/>
        </w:rPr>
        <w:t xml:space="preserve">causal</w:t>
      </w:r>
      <w:r>
        <w:t xml:space="preserve">, not discretionary, and requires no independent financial evaluation.</w:t>
      </w:r>
    </w:p>
    <w:p>
      <w:pPr>
        <w:pStyle w:val="BodyText"/>
      </w:pPr>
      <w:r>
        <w:t xml:space="preserve">The Financial System Protocol SHALL NOT:</w:t>
      </w:r>
    </w:p>
    <w:p>
      <w:pPr>
        <w:pStyle w:val="Compact"/>
        <w:numPr>
          <w:ilvl w:val="0"/>
          <w:numId w:val="1015"/>
        </w:numPr>
      </w:pPr>
      <w:r>
        <w:t xml:space="preserve">override exclusion outcomes,</w:t>
      </w:r>
    </w:p>
    <w:p>
      <w:pPr>
        <w:pStyle w:val="Compact"/>
        <w:numPr>
          <w:ilvl w:val="0"/>
          <w:numId w:val="1015"/>
        </w:numPr>
      </w:pPr>
      <w:r>
        <w:t xml:space="preserve">re-enable access under alternative criteria,</w:t>
      </w:r>
    </w:p>
    <w:p>
      <w:pPr>
        <w:pStyle w:val="Compact"/>
        <w:numPr>
          <w:ilvl w:val="0"/>
          <w:numId w:val="1015"/>
        </w:numPr>
      </w:pPr>
      <w:r>
        <w:t xml:space="preserve">provide compensatory financial pathways.</w:t>
      </w:r>
    </w:p>
    <w:p>
      <w:pPr>
        <w:pStyle w:val="FirstParagraph"/>
      </w:pPr>
      <w:r>
        <w:t xml:space="preserve">Financial access MAY be restored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upon formal exit from the Exclusion Domain as determined by DKP-1-JUSTICE-001.</w:t>
      </w:r>
    </w:p>
    <w:bookmarkEnd w:id="31"/>
    <w:bookmarkStart w:id="32" w:name="Xaa698ce397b3f2294f5c234a58b0f8018093793"/>
    <w:p>
      <w:pPr>
        <w:pStyle w:val="Heading4"/>
      </w:pPr>
      <w:r>
        <w:t xml:space="preserve">11.2 Justice Domain Synchronization Clause</w:t>
      </w:r>
    </w:p>
    <w:p>
      <w:pPr>
        <w:pStyle w:val="FirstParagraph"/>
      </w:pPr>
      <w:r>
        <w:t xml:space="preserve">Financial access suspension state SHALL be continuously synchronized with Justice Domain status as follows:</w:t>
      </w:r>
    </w:p>
    <w:p>
      <w:pPr>
        <w:pStyle w:val="BodyText"/>
      </w:pPr>
      <w:r>
        <w:t xml:space="preserve">a) Upon successful dispute resolution under DKP-4-ERROR-001 that results in exit from Exclusion Domain, financial access SHALL be automatically restored within one (1) DTI-Day.</w:t>
      </w:r>
    </w:p>
    <w:p>
      <w:pPr>
        <w:pStyle w:val="BodyText"/>
      </w:pPr>
      <w:r>
        <w:t xml:space="preserve">b) Pending dispute proceedings SHALL NOT automatically restore access, but SHALL suspend accumulation of any interest, penalties, or additional restrictions during the Status Quo Suspension period defined in DKP-4-ERROR-001 Section 4.1.</w:t>
      </w:r>
    </w:p>
    <w:p>
      <w:pPr>
        <w:pStyle w:val="BodyText"/>
      </w:pPr>
      <w:r>
        <w:t xml:space="preserve">c) The Financial System Protocol SHALL poll Justice Domain status at intervals not exceeding the minimum PTL TTL for Identity-related measurements, and SHALL auto-adjust suspension state upon Domain change.</w:t>
      </w:r>
    </w:p>
    <w:p>
      <w:pPr>
        <w:pStyle w:val="BodyText"/>
      </w:pPr>
      <w:r>
        <w:t xml:space="preserve">This clause ensures financial execution tracks justice re-evaluation as required by DKP-1-EPISTEMIC-BOUNDARIES-001 Section 6 (Non-Finality Rule).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e7e8ce5cf41188653818fcad4852effa219fa2a"/>
    <w:p>
      <w:pPr>
        <w:pStyle w:val="Heading3"/>
      </w:pPr>
      <w:r>
        <w:t xml:space="preserve">12. Transparency and Auditability</w:t>
      </w:r>
    </w:p>
    <w:p>
      <w:pPr>
        <w:pStyle w:val="FirstParagraph"/>
      </w:pPr>
      <w:r>
        <w:t xml:space="preserve">All financial mechanisms MUST be:</w:t>
      </w:r>
    </w:p>
    <w:p>
      <w:pPr>
        <w:pStyle w:val="Compact"/>
        <w:numPr>
          <w:ilvl w:val="0"/>
          <w:numId w:val="1016"/>
        </w:numPr>
      </w:pPr>
      <w:r>
        <w:t xml:space="preserve">deterministic,</w:t>
      </w:r>
    </w:p>
    <w:p>
      <w:pPr>
        <w:pStyle w:val="Compact"/>
        <w:numPr>
          <w:ilvl w:val="0"/>
          <w:numId w:val="1016"/>
        </w:numPr>
      </w:pPr>
      <w:r>
        <w:t xml:space="preserve">reproducible,</w:t>
      </w:r>
    </w:p>
    <w:p>
      <w:pPr>
        <w:pStyle w:val="Compact"/>
        <w:numPr>
          <w:ilvl w:val="0"/>
          <w:numId w:val="1016"/>
        </w:numPr>
      </w:pPr>
      <w:r>
        <w:t xml:space="preserve">fully auditable,</w:t>
      </w:r>
    </w:p>
    <w:p>
      <w:pPr>
        <w:pStyle w:val="Compact"/>
        <w:numPr>
          <w:ilvl w:val="0"/>
          <w:numId w:val="1016"/>
        </w:numPr>
      </w:pPr>
      <w:r>
        <w:t xml:space="preserve">traceable to L1 protocol outputs.</w:t>
      </w:r>
    </w:p>
    <w:p>
      <w:pPr>
        <w:pStyle w:val="FirstParagraph"/>
      </w:pPr>
      <w:r>
        <w:t xml:space="preserve">Opaque, discretionary, or proprietary financial logic is forbidden.</w:t>
      </w:r>
    </w:p>
    <w:p>
      <w:r>
        <w:pict>
          <v:rect style="width:0;height:1.5pt" o:hralign="center" o:hrstd="t" o:hr="t"/>
        </w:pict>
      </w:r>
    </w:p>
    <w:bookmarkEnd w:id="34"/>
    <w:bookmarkStart w:id="35" w:name="X461af9cbf1ae1dbbb4fe5374fe8caaee2cec184"/>
    <w:p>
      <w:pPr>
        <w:pStyle w:val="Heading3"/>
      </w:pPr>
      <w:r>
        <w:t xml:space="preserve">13. Cross-Layer Isolation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17"/>
        </w:numPr>
      </w:pPr>
      <w:r>
        <w:t xml:space="preserve">reinterpret impact measurements,</w:t>
      </w:r>
    </w:p>
    <w:p>
      <w:pPr>
        <w:pStyle w:val="Compact"/>
        <w:numPr>
          <w:ilvl w:val="0"/>
          <w:numId w:val="1017"/>
        </w:numPr>
      </w:pPr>
      <w:r>
        <w:t xml:space="preserve">override identity attribution,</w:t>
      </w:r>
    </w:p>
    <w:p>
      <w:pPr>
        <w:pStyle w:val="Compact"/>
        <w:numPr>
          <w:ilvl w:val="0"/>
          <w:numId w:val="1017"/>
        </w:numPr>
      </w:pPr>
      <w:r>
        <w:t xml:space="preserve">override justice outcomes,</w:t>
      </w:r>
    </w:p>
    <w:p>
      <w:pPr>
        <w:pStyle w:val="Compact"/>
        <w:numPr>
          <w:ilvl w:val="0"/>
          <w:numId w:val="1017"/>
        </w:numPr>
      </w:pPr>
      <w:r>
        <w:t xml:space="preserve">inject policy, ideology, or moral judgment.</w:t>
      </w:r>
    </w:p>
    <w:p>
      <w:pPr>
        <w:pStyle w:val="FirstParagraph"/>
      </w:pPr>
      <w:r>
        <w:t xml:space="preserve">Violation constitutes a critical architectural breach.</w:t>
      </w:r>
    </w:p>
    <w:p>
      <w:r>
        <w:pict>
          <v:rect style="width:0;height:1.5pt" o:hralign="center" o:hrstd="t" o:hr="t"/>
        </w:pict>
      </w:r>
    </w:p>
    <w:bookmarkEnd w:id="35"/>
    <w:bookmarkStart w:id="37" w:name="X02ffe642901d9b59b9c87ad2f050ec90f5ddd40"/>
    <w:p>
      <w:pPr>
        <w:pStyle w:val="Heading3"/>
      </w:pPr>
      <w:r>
        <w:t xml:space="preserve">14.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18"/>
        </w:numPr>
      </w:pPr>
      <w:r>
        <w:t xml:space="preserve">a new protocol identifier,</w:t>
      </w:r>
    </w:p>
    <w:p>
      <w:pPr>
        <w:pStyle w:val="Compact"/>
        <w:numPr>
          <w:ilvl w:val="0"/>
          <w:numId w:val="1018"/>
        </w:numPr>
      </w:pPr>
      <w:r>
        <w:t xml:space="preserve">explicit declaration of incompatibility,</w:t>
      </w:r>
    </w:p>
    <w:p>
      <w:pPr>
        <w:pStyle w:val="Compact"/>
        <w:numPr>
          <w:ilvl w:val="0"/>
          <w:numId w:val="1018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bookmarkStart w:id="36" w:name="end-of-protocol"/>
    <w:p>
      <w:pPr>
        <w:pStyle w:val="Heading4"/>
      </w:pPr>
      <w:r>
        <w:t xml:space="preserve">END OF PROTOCOL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2026-10-04T10:23:47Z</dcterms:created>
  <dcterms:modified xsi:type="dcterms:W3CDTF">2026-10-04T10:23:47Z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