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kp-3-defense-001"/>
    <w:p>
      <w:pPr>
        <w:pStyle w:val="Heading1"/>
      </w:pPr>
      <w:r>
        <w:t xml:space="preserve">DKP-3-DEFENSE-001</w:t>
      </w:r>
    </w:p>
    <w:p>
      <w:pPr>
        <w:pStyle w:val="FirstParagraph"/>
      </w:pPr>
      <w:r>
        <w:rPr>
          <w:i/>
          <w:iCs/>
        </w:rPr>
        <w:t xml:space="preserve">Last updated: 2026-10-04</w:t>
      </w:r>
    </w:p>
    <w:p>
      <w:pPr>
        <w:pStyle w:val="BodyText"/>
      </w:pPr>
      <w:r>
        <w:rPr>
          <w:b/>
          <w:bCs/>
        </w:rPr>
        <w:t xml:space="preserve">Defense &amp; System Protection Protocol</w:t>
      </w:r>
    </w:p>
    <w:p>
      <w:r>
        <w:pict>
          <v:rect style="width:0;height:1.5pt" o:hralign="center" o:hrstd="t" o:hr="t"/>
        </w:pict>
      </w:r>
    </w:p>
    <w:bookmarkStart w:id="9" w:name="X7a23a5f07c5edab015cfb0f255e1ff30e4ba5c5"/>
    <w:p>
      <w:pPr>
        <w:pStyle w:val="Heading3"/>
      </w:pPr>
      <w:r>
        <w:t xml:space="preserve">0. Preamble</w:t>
      </w:r>
    </w:p>
    <w:p>
      <w:pPr>
        <w:pStyle w:val="FirstParagraph"/>
      </w:pPr>
      <w:r>
        <w:t xml:space="preserve">DKP-3-DEFENSE-001 defines the external defense envelope of Dikenocracy.</w:t>
      </w:r>
    </w:p>
    <w:p>
      <w:pPr>
        <w:pStyle w:val="BodyText"/>
      </w:pPr>
      <w:r>
        <w:t xml:space="preserve">Within DKP, Defense is not a political instrument, not a military doctrine, not a punitive mechanism, and not a means of ideological or population control. Defense is a strictly functional subsystem whose sole purpose is to prevent, stop, or contain</w:t>
      </w:r>
      <w:r>
        <w:t xml:space="preserve"> </w:t>
      </w:r>
      <w:r>
        <w:rPr>
          <w:b/>
          <w:bCs/>
        </w:rPr>
        <w:t xml:space="preserve">ongoing or physically inevitable Physical Truth Layer (PTL)-confirmed harm</w:t>
      </w:r>
      <w:r>
        <w:t xml:space="preserve"> </w:t>
      </w:r>
      <w:r>
        <w:t xml:space="preserve">affecting protected domains.</w:t>
      </w:r>
    </w:p>
    <w:p>
      <w:pPr>
        <w:pStyle w:val="BodyText"/>
      </w:pPr>
      <w:r>
        <w:t xml:space="preserve">Defense exists to preserve admissible physical and systemic states under DKP axioms, primarily Axiom A1 (Preservation of Life) and Axiom A1a (Risk Symmetry and Voluntary Lethal Risk). Defense does not pursue victory, deterrence, punishment, dominance, or territorial outcomes.</w:t>
      </w:r>
    </w:p>
    <w:p>
      <w:pPr>
        <w:pStyle w:val="BodyText"/>
      </w:pPr>
      <w:r>
        <w:t xml:space="preserve">Participation in any defensive activity involving lethal or permanently disabling risk is</w:t>
      </w:r>
      <w:r>
        <w:t xml:space="preserve"> </w:t>
      </w:r>
      <w:r>
        <w:rPr>
          <w:b/>
          <w:bCs/>
        </w:rPr>
        <w:t xml:space="preserve">strictly voluntary</w:t>
      </w:r>
      <w:r>
        <w:t xml:space="preserve"> </w:t>
      </w:r>
      <w:r>
        <w:t xml:space="preserve">and governed by DKP-1-AXIOMS-001.</w:t>
      </w:r>
    </w:p>
    <w:p>
      <w:pPr>
        <w:pStyle w:val="BodyText"/>
      </w:pPr>
      <w:r>
        <w:t xml:space="preserve">This protocol is fully compatible with:</w:t>
      </w:r>
    </w:p>
    <w:p>
      <w:pPr>
        <w:pStyle w:val="Compact"/>
        <w:numPr>
          <w:ilvl w:val="0"/>
          <w:numId w:val="1001"/>
        </w:numPr>
      </w:pPr>
      <w:r>
        <w:t xml:space="preserve">DKP-0-ORACLE-001 (Physical Truth Layer)</w:t>
      </w:r>
    </w:p>
    <w:p>
      <w:pPr>
        <w:pStyle w:val="Compact"/>
        <w:numPr>
          <w:ilvl w:val="0"/>
          <w:numId w:val="1001"/>
        </w:numPr>
      </w:pPr>
      <w:r>
        <w:t xml:space="preserve">DKP-0-TIME-001 (DTI)</w:t>
      </w:r>
    </w:p>
    <w:p>
      <w:pPr>
        <w:pStyle w:val="Compact"/>
        <w:numPr>
          <w:ilvl w:val="0"/>
          <w:numId w:val="1001"/>
        </w:numPr>
      </w:pPr>
      <w:r>
        <w:t xml:space="preserve">DKP-1-AXIOMS-001</w:t>
      </w:r>
    </w:p>
    <w:p>
      <w:pPr>
        <w:pStyle w:val="Compact"/>
        <w:numPr>
          <w:ilvl w:val="0"/>
          <w:numId w:val="1001"/>
        </w:numPr>
      </w:pPr>
      <w:r>
        <w:t xml:space="preserve">DKP-1-IDENTITY-001</w:t>
      </w:r>
    </w:p>
    <w:p>
      <w:pPr>
        <w:pStyle w:val="Compact"/>
        <w:numPr>
          <w:ilvl w:val="0"/>
          <w:numId w:val="1001"/>
        </w:numPr>
      </w:pPr>
      <w:r>
        <w:t xml:space="preserve">DKP-1-IMPACT-001</w:t>
      </w:r>
    </w:p>
    <w:p>
      <w:pPr>
        <w:pStyle w:val="Compact"/>
        <w:numPr>
          <w:ilvl w:val="0"/>
          <w:numId w:val="1001"/>
        </w:numPr>
      </w:pPr>
      <w:r>
        <w:t xml:space="preserve">DKP-1-JUSTICE-001</w:t>
      </w:r>
    </w:p>
    <w:p>
      <w:pPr>
        <w:pStyle w:val="Compact"/>
        <w:numPr>
          <w:ilvl w:val="0"/>
          <w:numId w:val="1001"/>
        </w:numPr>
      </w:pPr>
      <w:r>
        <w:t xml:space="preserve">DKP-3-INTERNAL-SEC-001</w:t>
      </w:r>
    </w:p>
    <w:p>
      <w:r>
        <w:pict>
          <v:rect style="width:0;height:1.5pt" o:hralign="center" o:hrstd="t" o:hr="t"/>
        </w:pict>
      </w:r>
    </w:p>
    <w:bookmarkEnd w:id="9"/>
    <w:bookmarkStart w:id="10" w:name="Xe656c7b6450ec476f453091ff6f524ec7bd654f"/>
    <w:p>
      <w:pPr>
        <w:pStyle w:val="Heading3"/>
      </w:pPr>
      <w:r>
        <w:t xml:space="preserve">1. Purpose</w:t>
      </w:r>
    </w:p>
    <w:p>
      <w:pPr>
        <w:pStyle w:val="FirstParagraph"/>
      </w:pPr>
      <w:r>
        <w:t xml:space="preserve">The Defense &amp; System Protection Protocol defines how the system responds to</w:t>
      </w:r>
      <w:r>
        <w:t xml:space="preserve"> </w:t>
      </w:r>
      <w:r>
        <w:rPr>
          <w:b/>
          <w:bCs/>
        </w:rPr>
        <w:t xml:space="preserve">external physical, technical, or infrastructure violence</w:t>
      </w:r>
      <w:r>
        <w:t xml:space="preserve"> </w:t>
      </w:r>
      <w:r>
        <w:t xml:space="preserve">when:</w:t>
      </w:r>
    </w:p>
    <w:p>
      <w:pPr>
        <w:pStyle w:val="Compact"/>
        <w:numPr>
          <w:ilvl w:val="0"/>
          <w:numId w:val="1002"/>
        </w:numPr>
      </w:pPr>
      <w:r>
        <w:t xml:space="preserve">harm is actively occurring, or</w:t>
      </w:r>
    </w:p>
    <w:p>
      <w:pPr>
        <w:pStyle w:val="Compact"/>
        <w:numPr>
          <w:ilvl w:val="0"/>
          <w:numId w:val="1002"/>
        </w:numPr>
      </w:pPr>
      <w:r>
        <w:t xml:space="preserve">a physically inevitable harm event is confirmed by PTL.</w:t>
      </w:r>
    </w:p>
    <w:p>
      <w:pPr>
        <w:pStyle w:val="FirstParagraph"/>
      </w:pPr>
      <w:r>
        <w:t xml:space="preserve">The objective of Defense is to</w:t>
      </w:r>
      <w:r>
        <w:t xml:space="preserve"> </w:t>
      </w:r>
      <w:r>
        <w:rPr>
          <w:b/>
          <w:bCs/>
        </w:rPr>
        <w:t xml:space="preserve">stop the harmful interaction</w:t>
      </w:r>
      <w:r>
        <w:t xml:space="preserve"> </w:t>
      </w:r>
      <w:r>
        <w:t xml:space="preserve">and restore admissible system operation with minimal irreversible damage. Defense is not a conflict-resolution mechanism and does not attempt to determine legitimacy, intent, or fault.</w:t>
      </w:r>
    </w:p>
    <w:p>
      <w:r>
        <w:pict>
          <v:rect style="width:0;height:1.5pt" o:hralign="center" o:hrstd="t" o:hr="t"/>
        </w:pict>
      </w:r>
    </w:p>
    <w:bookmarkEnd w:id="10"/>
    <w:bookmarkStart w:id="11" w:name="Xa3317ba21fa978274b1e9d4e4eff2aa3d4f65fa"/>
    <w:p>
      <w:pPr>
        <w:pStyle w:val="Heading3"/>
      </w:pPr>
      <w:r>
        <w:t xml:space="preserve">2. System Position</w:t>
      </w:r>
    </w:p>
    <w:p>
      <w:pPr>
        <w:pStyle w:val="FirstParagraph"/>
      </w:pPr>
      <w:r>
        <w:t xml:space="preserve">This protocol operates:</w:t>
      </w:r>
    </w:p>
    <w:p>
      <w:pPr>
        <w:pStyle w:val="Compact"/>
        <w:numPr>
          <w:ilvl w:val="0"/>
          <w:numId w:val="1003"/>
        </w:numPr>
      </w:pPr>
      <w:r>
        <w:t xml:space="preserve">strictly downstream of DKP-0-ORACLE-001 (PTL) and DKP-0-TIME-001,</w:t>
      </w:r>
    </w:p>
    <w:p>
      <w:pPr>
        <w:pStyle w:val="Compact"/>
        <w:numPr>
          <w:ilvl w:val="0"/>
          <w:numId w:val="1003"/>
        </w:numPr>
      </w:pPr>
      <w:r>
        <w:t xml:space="preserve">downstream of DKP-1-IDENTITY-001, DKP-1-IMPACT-001, and DKP-1-JUSTICE-001,</w:t>
      </w:r>
    </w:p>
    <w:p>
      <w:pPr>
        <w:pStyle w:val="Compact"/>
        <w:numPr>
          <w:ilvl w:val="0"/>
          <w:numId w:val="1003"/>
        </w:numPr>
      </w:pPr>
      <w:r>
        <w:rPr>
          <w:b/>
          <w:bCs/>
        </w:rPr>
        <w:t xml:space="preserve">concurrently with DKP-3-INTERNAL-SEC-001, using priority synchronization</w:t>
      </w:r>
      <w:r>
        <w:t xml:space="preserve">,</w:t>
      </w:r>
    </w:p>
    <w:p>
      <w:pPr>
        <w:pStyle w:val="Compact"/>
        <w:numPr>
          <w:ilvl w:val="0"/>
          <w:numId w:val="1003"/>
        </w:numPr>
      </w:pPr>
      <w:r>
        <w:t xml:space="preserve">in parallel with domain-specific security protocols where applicable,</w:t>
      </w:r>
    </w:p>
    <w:p>
      <w:pPr>
        <w:pStyle w:val="Compact"/>
        <w:numPr>
          <w:ilvl w:val="0"/>
          <w:numId w:val="1003"/>
        </w:numPr>
      </w:pPr>
      <w:r>
        <w:t xml:space="preserve">upstream of DKP-4-ERROR-001 and DKP-4-CRISIS-001.</w:t>
      </w:r>
    </w:p>
    <w:p>
      <w:pPr>
        <w:pStyle w:val="FirstParagraph"/>
      </w:pPr>
      <w:r>
        <w:t xml:space="preserve">Hard constraints:</w:t>
      </w:r>
    </w:p>
    <w:p>
      <w:pPr>
        <w:pStyle w:val="Compact"/>
        <w:numPr>
          <w:ilvl w:val="0"/>
          <w:numId w:val="1004"/>
        </w:numPr>
      </w:pPr>
      <w:r>
        <w:t xml:space="preserve">Defense SHALL NOT compute justice outcomes.</w:t>
      </w:r>
    </w:p>
    <w:p>
      <w:pPr>
        <w:pStyle w:val="Compact"/>
        <w:numPr>
          <w:ilvl w:val="0"/>
          <w:numId w:val="1004"/>
        </w:numPr>
      </w:pPr>
      <w:r>
        <w:t xml:space="preserve">Defense SHALL NOT assign guilt or interpret intent.</w:t>
      </w:r>
    </w:p>
    <w:p>
      <w:pPr>
        <w:pStyle w:val="Compact"/>
        <w:numPr>
          <w:ilvl w:val="0"/>
          <w:numId w:val="1004"/>
        </w:numPr>
      </w:pPr>
      <w:r>
        <w:t xml:space="preserve">Defense SHALL NOT impose punishment, sanctions, or political control.</w:t>
      </w:r>
    </w:p>
    <w:p>
      <w:pPr>
        <w:pStyle w:val="Compact"/>
        <w:numPr>
          <w:ilvl w:val="0"/>
          <w:numId w:val="1004"/>
        </w:numPr>
      </w:pPr>
      <w:r>
        <w:t xml:space="preserve">Defense SHALL NOT redefine Physical Truth or override axioms.</w:t>
      </w:r>
    </w:p>
    <w:p>
      <w:r>
        <w:pict>
          <v:rect style="width:0;height:1.5pt" o:hralign="center" o:hrstd="t" o:hr="t"/>
        </w:pict>
      </w:r>
    </w:p>
    <w:bookmarkEnd w:id="11"/>
    <w:bookmarkStart w:id="19" w:name="X181837d14a0515875e67aea3e7a6eb6033519d9"/>
    <w:p>
      <w:pPr>
        <w:pStyle w:val="Heading3"/>
      </w:pPr>
      <w:r>
        <w:t xml:space="preserve">3. Core Definitions</w:t>
      </w:r>
    </w:p>
    <w:bookmarkStart w:id="12" w:name="Xd319256d8f305fdb7ef71ab29eb604fe4f5213c"/>
    <w:p>
      <w:pPr>
        <w:pStyle w:val="Heading4"/>
      </w:pPr>
      <w:r>
        <w:t xml:space="preserve">3.1 Defensive Action</w:t>
      </w:r>
    </w:p>
    <w:p>
      <w:pPr>
        <w:pStyle w:val="FirstParagraph"/>
      </w:pPr>
      <w:r>
        <w:t xml:space="preserve">A Defensive Action is any physical or technical intervention whose sole function is to:</w:t>
      </w:r>
    </w:p>
    <w:p>
      <w:pPr>
        <w:pStyle w:val="Compact"/>
        <w:numPr>
          <w:ilvl w:val="0"/>
          <w:numId w:val="1005"/>
        </w:numPr>
      </w:pPr>
      <w:r>
        <w:t xml:space="preserve">stop,</w:t>
      </w:r>
    </w:p>
    <w:p>
      <w:pPr>
        <w:pStyle w:val="Compact"/>
        <w:numPr>
          <w:ilvl w:val="0"/>
          <w:numId w:val="1005"/>
        </w:numPr>
      </w:pPr>
      <w:r>
        <w:t xml:space="preserve">block,</w:t>
      </w:r>
    </w:p>
    <w:p>
      <w:pPr>
        <w:pStyle w:val="Compact"/>
        <w:numPr>
          <w:ilvl w:val="0"/>
          <w:numId w:val="1005"/>
        </w:numPr>
      </w:pPr>
      <w:r>
        <w:t xml:space="preserve">shield,</w:t>
      </w:r>
    </w:p>
    <w:p>
      <w:pPr>
        <w:pStyle w:val="Compact"/>
        <w:numPr>
          <w:ilvl w:val="0"/>
          <w:numId w:val="1005"/>
        </w:numPr>
      </w:pPr>
      <w:r>
        <w:t xml:space="preserve">isolate, or</w:t>
      </w:r>
    </w:p>
    <w:p>
      <w:pPr>
        <w:pStyle w:val="Compact"/>
        <w:numPr>
          <w:ilvl w:val="0"/>
          <w:numId w:val="1005"/>
        </w:numPr>
      </w:pPr>
      <w:r>
        <w:t xml:space="preserve">neutralize</w:t>
      </w:r>
    </w:p>
    <w:p>
      <w:pPr>
        <w:pStyle w:val="FirstParagraph"/>
      </w:pPr>
      <w:r>
        <w:t xml:space="preserve">an</w:t>
      </w:r>
      <w:r>
        <w:t xml:space="preserve"> </w:t>
      </w:r>
      <w:r>
        <w:rPr>
          <w:b/>
          <w:bCs/>
        </w:rPr>
        <w:t xml:space="preserve">ongoing or physically inevitable PTL-confirmed harm stream</w:t>
      </w:r>
      <w:r>
        <w:t xml:space="preserve"> </w:t>
      </w:r>
      <w:r>
        <w:t xml:space="preserve">within a protected domain.</w:t>
      </w:r>
    </w:p>
    <w:bookmarkEnd w:id="12"/>
    <w:bookmarkStart w:id="13" w:name="X1567782ed6e5dfcdc2cb9316c3a13cf88afad6e"/>
    <w:p>
      <w:pPr>
        <w:pStyle w:val="Heading4"/>
      </w:pPr>
      <w:r>
        <w:t xml:space="preserve">3.2 External Harm Event</w:t>
      </w:r>
    </w:p>
    <w:p>
      <w:pPr>
        <w:pStyle w:val="FirstParagraph"/>
      </w:pPr>
      <w:r>
        <w:t xml:space="preserve">An External Harm Event is a situation in which:</w:t>
      </w:r>
    </w:p>
    <w:p>
      <w:pPr>
        <w:pStyle w:val="Compact"/>
        <w:numPr>
          <w:ilvl w:val="0"/>
          <w:numId w:val="1006"/>
        </w:numPr>
      </w:pPr>
      <w:r>
        <w:t xml:space="preserve">the source of harm lies outside the controlled execution boundary of DKP, and</w:t>
      </w:r>
    </w:p>
    <w:p>
      <w:pPr>
        <w:pStyle w:val="Compact"/>
        <w:numPr>
          <w:ilvl w:val="0"/>
          <w:numId w:val="1006"/>
        </w:numPr>
      </w:pPr>
      <w:r>
        <w:t xml:space="preserve">the interaction produces or will unavoidably produce measurable harm under DKP-1-IMPACT-001.</w:t>
      </w:r>
    </w:p>
    <w:p>
      <w:pPr>
        <w:pStyle w:val="FirstParagraph"/>
      </w:pPr>
      <w:r>
        <w:t xml:space="preserve">The term “external” is functional, not geopolitical.</w:t>
      </w:r>
    </w:p>
    <w:bookmarkEnd w:id="13"/>
    <w:bookmarkStart w:id="14" w:name="X26ae7bcbd7a2ef07760a7f5749197f1e66c6a86"/>
    <w:p>
      <w:pPr>
        <w:pStyle w:val="Heading4"/>
      </w:pPr>
      <w:r>
        <w:t xml:space="preserve">3.3 Protected Domains</w:t>
      </w:r>
    </w:p>
    <w:p>
      <w:pPr>
        <w:pStyle w:val="FirstParagraph"/>
      </w:pPr>
      <w:r>
        <w:t xml:space="preserve">Protected Domains are the minimal set of targets for which Defense may be invoked:</w:t>
      </w:r>
    </w:p>
    <w:p>
      <w:pPr>
        <w:pStyle w:val="Compact"/>
        <w:numPr>
          <w:ilvl w:val="0"/>
          <w:numId w:val="1007"/>
        </w:numPr>
      </w:pPr>
      <w:r>
        <w:t xml:space="preserve">subject life and bodily integrity (A1 priority),</w:t>
      </w:r>
    </w:p>
    <w:p>
      <w:pPr>
        <w:pStyle w:val="Compact"/>
        <w:numPr>
          <w:ilvl w:val="0"/>
          <w:numId w:val="1007"/>
        </w:numPr>
      </w:pPr>
      <w:r>
        <w:t xml:space="preserve">critical DKP execution infrastructure (PTL, identity binding, audit, ledger integrity),</w:t>
      </w:r>
    </w:p>
    <w:p>
      <w:pPr>
        <w:pStyle w:val="Compact"/>
        <w:numPr>
          <w:ilvl w:val="0"/>
          <w:numId w:val="1007"/>
        </w:numPr>
      </w:pPr>
      <w:r>
        <w:t xml:space="preserve">critical biospheric nodes defined under Impact protocols,</w:t>
      </w:r>
    </w:p>
    <w:p>
      <w:pPr>
        <w:pStyle w:val="Compact"/>
        <w:numPr>
          <w:ilvl w:val="0"/>
          <w:numId w:val="1007"/>
        </w:numPr>
      </w:pPr>
      <w:r>
        <w:t xml:space="preserve">explicitly registered critical public infrastructure.</w:t>
      </w:r>
    </w:p>
    <w:bookmarkEnd w:id="14"/>
    <w:bookmarkStart w:id="15" w:name="Xdd40fb8ad2aab0ec1f95721f9be029eff8b6ba6"/>
    <w:p>
      <w:pPr>
        <w:pStyle w:val="Heading4"/>
      </w:pPr>
      <w:r>
        <w:t xml:space="preserve">3.4 Verified Collective Security Risk</w:t>
      </w:r>
    </w:p>
    <w:p>
      <w:pPr>
        <w:pStyle w:val="FirstParagraph"/>
      </w:pPr>
      <w:r>
        <w:t xml:space="preserve">A Verified Collective Security Risk exists when PTL confirms that participation in a Defensive Action exposes a subject to a non-trivial probability of:</w:t>
      </w:r>
    </w:p>
    <w:p>
      <w:pPr>
        <w:pStyle w:val="Compact"/>
        <w:numPr>
          <w:ilvl w:val="0"/>
          <w:numId w:val="1008"/>
        </w:numPr>
      </w:pPr>
      <w:r>
        <w:t xml:space="preserve">bodily injury,</w:t>
      </w:r>
    </w:p>
    <w:p>
      <w:pPr>
        <w:pStyle w:val="Compact"/>
        <w:numPr>
          <w:ilvl w:val="0"/>
          <w:numId w:val="1008"/>
        </w:numPr>
      </w:pPr>
      <w:r>
        <w:t xml:space="preserve">permanent impairment, or</w:t>
      </w:r>
    </w:p>
    <w:p>
      <w:pPr>
        <w:pStyle w:val="Compact"/>
        <w:numPr>
          <w:ilvl w:val="0"/>
          <w:numId w:val="1008"/>
        </w:numPr>
      </w:pPr>
      <w:r>
        <w:t xml:space="preserve">death.</w:t>
      </w:r>
    </w:p>
    <w:p>
      <w:pPr>
        <w:pStyle w:val="FirstParagraph"/>
      </w:pPr>
      <w:r>
        <w:t xml:space="preserve">Risk verification is PTL-anchored and SHALL NOT depend on role labels, institutional affiliation, or declared status.</w:t>
      </w:r>
    </w:p>
    <w:bookmarkEnd w:id="15"/>
    <w:bookmarkStart w:id="16" w:name="X019a8b96b1ba29572b8eb939df8ed62de68e49c"/>
    <w:p>
      <w:pPr>
        <w:pStyle w:val="Heading4"/>
      </w:pPr>
      <w:r>
        <w:t xml:space="preserve">3.5 Voluntary Defense Participant</w:t>
      </w:r>
    </w:p>
    <w:p>
      <w:pPr>
        <w:pStyle w:val="FirstParagraph"/>
      </w:pPr>
      <w:r>
        <w:t xml:space="preserve">A Voluntary Defense Participant is a subject who:</w:t>
      </w:r>
    </w:p>
    <w:p>
      <w:pPr>
        <w:pStyle w:val="Compact"/>
        <w:numPr>
          <w:ilvl w:val="0"/>
          <w:numId w:val="1009"/>
        </w:numPr>
      </w:pPr>
      <w:r>
        <w:t xml:space="preserve">has given explicit and revocable consent to participate in a Verified Collective Security Risk,</w:t>
      </w:r>
    </w:p>
    <w:p>
      <w:pPr>
        <w:pStyle w:val="Compact"/>
        <w:numPr>
          <w:ilvl w:val="0"/>
          <w:numId w:val="1009"/>
        </w:numPr>
      </w:pPr>
      <w:r>
        <w:t xml:space="preserve">meets qualification and safety thresholds defined by subordinate protocols,</w:t>
      </w:r>
    </w:p>
    <w:p>
      <w:pPr>
        <w:pStyle w:val="Compact"/>
        <w:numPr>
          <w:ilvl w:val="0"/>
          <w:numId w:val="1009"/>
        </w:numPr>
      </w:pPr>
      <w:r>
        <w:t xml:space="preserve">is registered under DKP-1-IDENTITY-001 as a voluntary defense actor.</w:t>
      </w:r>
    </w:p>
    <w:bookmarkEnd w:id="16"/>
    <w:bookmarkStart w:id="18" w:name="Xf57da1d25f224712595e4393c3d6674f68cdeba"/>
    <w:p>
      <w:pPr>
        <w:pStyle w:val="Heading4"/>
      </w:pPr>
      <w:r>
        <w:t xml:space="preserve">3.6 Vector of Physical Inevitability</w:t>
      </w:r>
    </w:p>
    <w:p>
      <w:pPr>
        <w:pStyle w:val="FirstParagraph"/>
      </w:pPr>
      <w:r>
        <w:t xml:space="preserve">A Vector of Physical Inevitability is a PTL-confirmed state in which current measured physical parameters (including trajectory, velocity, energy, or process initiation state) imply that,</w:t>
      </w:r>
      <w:r>
        <w:t xml:space="preserve"> </w:t>
      </w:r>
      <w:r>
        <w:rPr>
          <w:b/>
          <w:bCs/>
        </w:rPr>
        <w:t xml:space="preserve">absent intervention</w:t>
      </w:r>
      <w:r>
        <w:t xml:space="preserve">, a Harm Event will occur with near-certainty within a finite time horizon.</w:t>
      </w:r>
    </w:p>
    <w:p>
      <w:pPr>
        <w:pStyle w:val="BodyText"/>
      </w:pPr>
      <w:r>
        <w:t xml:space="preserve">Actions taken to interrupt or terminate a Vector of Physical Inevitability are classified as Defense actions, not preemptive actions.</w:t>
      </w:r>
    </w:p>
    <w:bookmarkStart w:id="17" w:name="X897b7b2fbd09339ee6af96fbcab97a67c8b403b"/>
    <w:p>
      <w:pPr>
        <w:pStyle w:val="Heading5"/>
      </w:pPr>
      <w:r>
        <w:t xml:space="preserve">Epistemic Classification of Trajectory-Based Authorization</w:t>
      </w:r>
    </w:p>
    <w:p>
      <w:pPr>
        <w:pStyle w:val="FirstParagraph"/>
      </w:pPr>
      <w:r>
        <w:t xml:space="preserve">Vector of Physical Inevitability determinations are predictive extensions of current PTL state and SHALL be epistemically marked accordingly:</w:t>
      </w:r>
    </w:p>
    <w:p>
      <w:pPr>
        <w:pStyle w:val="BodyText"/>
      </w:pPr>
      <w:r>
        <w:t xml:space="preserve">a) Trajectory-based defensive authorization SHALL carry:</w:t>
      </w:r>
    </w:p>
    <w:p>
      <w:pPr>
        <w:pStyle w:val="Compact"/>
        <w:numPr>
          <w:ilvl w:val="0"/>
          <w:numId w:val="1010"/>
        </w:numPr>
      </w:pPr>
      <w:r>
        <w:t xml:space="preserve">validity_state: CONDITIONAL</w:t>
      </w:r>
    </w:p>
    <w:p>
      <w:pPr>
        <w:pStyle w:val="Compact"/>
        <w:numPr>
          <w:ilvl w:val="0"/>
          <w:numId w:val="1010"/>
        </w:numPr>
      </w:pPr>
      <w:r>
        <w:t xml:space="preserve">confidence_state: [propagated from PTL trajectory confidence interval]</w:t>
      </w:r>
    </w:p>
    <w:p>
      <w:pPr>
        <w:pStyle w:val="Compact"/>
        <w:numPr>
          <w:ilvl w:val="0"/>
          <w:numId w:val="1010"/>
        </w:numPr>
      </w:pPr>
      <w:r>
        <w:t xml:space="preserve">consistency_state: [as determined by multi-oracle trajectory agreement]</w:t>
      </w:r>
    </w:p>
    <w:p>
      <w:pPr>
        <w:pStyle w:val="Compact"/>
        <w:numPr>
          <w:ilvl w:val="0"/>
          <w:numId w:val="1010"/>
        </w:numPr>
      </w:pPr>
      <w:r>
        <w:t xml:space="preserve">scope_ref: "DKP-3-DEFENSE-001:VPI"</w:t>
      </w:r>
    </w:p>
    <w:p>
      <w:pPr>
        <w:pStyle w:val="Compact"/>
        <w:numPr>
          <w:ilvl w:val="0"/>
          <w:numId w:val="1010"/>
        </w:numPr>
      </w:pPr>
      <w:r>
        <w:t xml:space="preserve">revalidation_required: TRUE</w:t>
      </w:r>
    </w:p>
    <w:p>
      <w:pPr>
        <w:pStyle w:val="Compact"/>
        <w:numPr>
          <w:ilvl w:val="0"/>
          <w:numId w:val="1010"/>
        </w:numPr>
      </w:pPr>
      <w:r>
        <w:t xml:space="preserve">revalidation_interval: [trajectory TTL as defined by PTL]</w:t>
      </w:r>
    </w:p>
    <w:p>
      <w:pPr>
        <w:pStyle w:val="Compact"/>
        <w:numPr>
          <w:ilvl w:val="0"/>
          <w:numId w:val="1010"/>
        </w:numPr>
      </w:pPr>
      <w:r>
        <w:t xml:space="preserve">dispute_allowed: TRUE (post-factum)</w:t>
      </w:r>
    </w:p>
    <w:p>
      <w:pPr>
        <w:pStyle w:val="FirstParagraph"/>
      </w:pPr>
      <w:r>
        <w:t xml:space="preserve">b)</w:t>
      </w:r>
      <w:r>
        <w:t xml:space="preserve"> </w:t>
      </w:r>
      <w:r>
        <w:rPr>
          <w:b/>
          <w:bCs/>
        </w:rPr>
        <w:t xml:space="preserve">Continuous Revalidation Requirement</w:t>
      </w:r>
    </w:p>
    <w:p>
      <w:pPr>
        <w:pStyle w:val="BodyText"/>
      </w:pPr>
      <w:r>
        <w:t xml:space="preserve">Defensive authorization based on VPI SHALL be continuously revalidated at intervals not exceeding the minimum TTL of trajectory data components.</w:t>
      </w:r>
    </w:p>
    <w:p>
      <w:pPr>
        <w:pStyle w:val="BodyText"/>
      </w:pPr>
      <w:r>
        <w:t xml:space="preserve">c)</w:t>
      </w:r>
      <w:r>
        <w:t xml:space="preserve"> </w:t>
      </w:r>
      <w:r>
        <w:rPr>
          <w:b/>
          <w:bCs/>
        </w:rPr>
        <w:t xml:space="preserve">Automatic Termination Clause</w:t>
      </w:r>
    </w:p>
    <w:p>
      <w:pPr>
        <w:pStyle w:val="BodyText"/>
      </w:pPr>
      <w:r>
        <w:t xml:space="preserve">Any cessation of PTL trajectory confirmation — whether through measurement expiration, oracle divergence, or trajectory deviation — SHALL immediately terminate VPI-based defensive authorization.</w:t>
      </w:r>
    </w:p>
    <w:p>
      <w:pPr>
        <w:pStyle w:val="BodyText"/>
      </w:pPr>
      <w:r>
        <w:t xml:space="preserve">d)</w:t>
      </w:r>
      <w:r>
        <w:t xml:space="preserve"> </w:t>
      </w:r>
      <w:r>
        <w:rPr>
          <w:b/>
          <w:bCs/>
        </w:rPr>
        <w:t xml:space="preserve">Non-Preemption Invariant</w:t>
      </w:r>
    </w:p>
    <w:p>
      <w:pPr>
        <w:pStyle w:val="BodyText"/>
      </w:pPr>
      <w:r>
        <w:t xml:space="preserve">VPI authorization addresses confirmed trajectory of harm in progress, not speculative or statistical future harm. The distinction between trajectory (measured momentum of active process) and prediction (inference about unmeasured future) is maintained:</w:t>
      </w:r>
    </w:p>
    <w:p>
      <w:pPr>
        <w:pStyle w:val="Compact"/>
        <w:numPr>
          <w:ilvl w:val="0"/>
          <w:numId w:val="1011"/>
        </w:numPr>
      </w:pPr>
      <w:r>
        <w:t xml:space="preserve">VPI requires continuous measurement of active harm vector</w:t>
      </w:r>
    </w:p>
    <w:p>
      <w:pPr>
        <w:pStyle w:val="Compact"/>
        <w:numPr>
          <w:ilvl w:val="0"/>
          <w:numId w:val="1011"/>
        </w:numPr>
      </w:pPr>
      <w:r>
        <w:t xml:space="preserve">Static threat assessments, intelligence projections, or statistical risk models do NOT qualify as VPI</w:t>
      </w:r>
    </w:p>
    <w:p>
      <w:r>
        <w:pict>
          <v:rect style="width:0;height:1.5pt" o:hralign="center" o:hrstd="t" o:hr="t"/>
        </w:pict>
      </w:r>
    </w:p>
    <w:bookmarkEnd w:id="17"/>
    <w:bookmarkEnd w:id="18"/>
    <w:bookmarkEnd w:id="19"/>
    <w:bookmarkStart w:id="26" w:name="X766020aaf7411b9623aaa0a8dcb87900e2f5c22"/>
    <w:p>
      <w:pPr>
        <w:pStyle w:val="Heading3"/>
      </w:pPr>
      <w:r>
        <w:t xml:space="preserve">4. Defense Invariants (Hard)</w:t>
      </w:r>
    </w:p>
    <w:bookmarkStart w:id="20" w:name="X8e1e1578fa23559f417728300e663eca7adf646"/>
    <w:p>
      <w:pPr>
        <w:pStyle w:val="Heading4"/>
      </w:pPr>
      <w:r>
        <w:t xml:space="preserve">4.1 PTL Supremacy</w:t>
      </w:r>
    </w:p>
    <w:p>
      <w:pPr>
        <w:pStyle w:val="FirstParagraph"/>
      </w:pPr>
      <w:r>
        <w:t xml:space="preserve">No Defensive Action is permitted without PTL-confirmed evidence of an active or physically inevitable harm stream.</w:t>
      </w:r>
    </w:p>
    <w:bookmarkEnd w:id="20"/>
    <w:bookmarkStart w:id="21" w:name="Xfae1470e5c89b9a30c1e4b22af6f1aa074c9622"/>
    <w:p>
      <w:pPr>
        <w:pStyle w:val="Heading4"/>
      </w:pPr>
      <w:r>
        <w:t xml:space="preserve">4.2 Non-Preemptive Constraint (Epistemic)</w:t>
      </w:r>
    </w:p>
    <w:p>
      <w:pPr>
        <w:pStyle w:val="FirstParagraph"/>
      </w:pPr>
      <w:r>
        <w:t xml:space="preserve">Defense SHALL NOT be initiated based on:</w:t>
      </w:r>
    </w:p>
    <w:p>
      <w:pPr>
        <w:pStyle w:val="Compact"/>
        <w:numPr>
          <w:ilvl w:val="0"/>
          <w:numId w:val="1012"/>
        </w:numPr>
      </w:pPr>
      <w:r>
        <w:t xml:space="preserve">forecasts or speculative predictions,</w:t>
      </w:r>
    </w:p>
    <w:p>
      <w:pPr>
        <w:pStyle w:val="Compact"/>
        <w:numPr>
          <w:ilvl w:val="0"/>
          <w:numId w:val="1012"/>
        </w:numPr>
      </w:pPr>
      <w:r>
        <w:t xml:space="preserve">intelligence assessments detached from PTL,</w:t>
      </w:r>
    </w:p>
    <w:p>
      <w:pPr>
        <w:pStyle w:val="Compact"/>
        <w:numPr>
          <w:ilvl w:val="0"/>
          <w:numId w:val="1012"/>
        </w:numPr>
      </w:pPr>
      <w:r>
        <w:t xml:space="preserve">political claims,</w:t>
      </w:r>
    </w:p>
    <w:p>
      <w:pPr>
        <w:pStyle w:val="Compact"/>
        <w:numPr>
          <w:ilvl w:val="0"/>
          <w:numId w:val="1012"/>
        </w:numPr>
      </w:pPr>
      <w:r>
        <w:t xml:space="preserve">statistical risk projections,</w:t>
      </w:r>
    </w:p>
    <w:p>
      <w:pPr>
        <w:pStyle w:val="Compact"/>
        <w:numPr>
          <w:ilvl w:val="0"/>
          <w:numId w:val="1012"/>
        </w:numPr>
      </w:pPr>
      <w:r>
        <w:t xml:space="preserve">narrative threat models.</w:t>
      </w:r>
    </w:p>
    <w:p>
      <w:pPr>
        <w:pStyle w:val="FirstParagraph"/>
      </w:pPr>
      <w:r>
        <w:t xml:space="preserve">Actions based on PTL-confirmed Vectors of Physical Inevitability do not constitute preemption.</w:t>
      </w:r>
    </w:p>
    <w:bookmarkEnd w:id="21"/>
    <w:bookmarkStart w:id="22" w:name="Xb0bcf53ec3310e4edb2e000f07aa513e8cd94af"/>
    <w:p>
      <w:pPr>
        <w:pStyle w:val="Heading4"/>
      </w:pPr>
      <w:r>
        <w:t xml:space="preserve">4.3 Containment-Only Rule</w:t>
      </w:r>
    </w:p>
    <w:p>
      <w:pPr>
        <w:pStyle w:val="FirstParagraph"/>
      </w:pPr>
      <w:r>
        <w:t xml:space="preserve">Defense actions are limited to stopping the harmful interaction and restoring admissible operation.</w:t>
      </w:r>
    </w:p>
    <w:p>
      <w:pPr>
        <w:pStyle w:val="BodyText"/>
      </w:pPr>
      <w:r>
        <w:t xml:space="preserve">Defense SHALL NOT pursue retaliation, deterrence, territorial gain, or dominance as objectives.</w:t>
      </w:r>
    </w:p>
    <w:bookmarkEnd w:id="22"/>
    <w:bookmarkStart w:id="23" w:name="Xefdca63502ca02b8d55a88e0d15dec243f42a4f"/>
    <w:p>
      <w:pPr>
        <w:pStyle w:val="Heading4"/>
      </w:pPr>
      <w:r>
        <w:t xml:space="preserve">4.4 Minimal Necessary Action</w:t>
      </w:r>
    </w:p>
    <w:p>
      <w:pPr>
        <w:pStyle w:val="FirstParagraph"/>
      </w:pPr>
      <w:r>
        <w:t xml:space="preserve">Defensive Actions MUST be:</w:t>
      </w:r>
    </w:p>
    <w:p>
      <w:pPr>
        <w:pStyle w:val="Compact"/>
        <w:numPr>
          <w:ilvl w:val="0"/>
          <w:numId w:val="1013"/>
        </w:numPr>
      </w:pPr>
      <w:r>
        <w:t xml:space="preserve">minimal in scope,</w:t>
      </w:r>
    </w:p>
    <w:p>
      <w:pPr>
        <w:pStyle w:val="Compact"/>
        <w:numPr>
          <w:ilvl w:val="0"/>
          <w:numId w:val="1013"/>
        </w:numPr>
      </w:pPr>
      <w:r>
        <w:t xml:space="preserve">proportionate to measured harm,</w:t>
      </w:r>
    </w:p>
    <w:p>
      <w:pPr>
        <w:pStyle w:val="Compact"/>
        <w:numPr>
          <w:ilvl w:val="0"/>
          <w:numId w:val="1013"/>
        </w:numPr>
      </w:pPr>
      <w:r>
        <w:t xml:space="preserve">localized to the protected domain</w:t>
      </w:r>
      <w:r>
        <w:t xml:space="preserve"> </w:t>
      </w:r>
      <w:r>
        <w:rPr>
          <w:b/>
          <w:bCs/>
        </w:rPr>
        <w:t xml:space="preserve">and/or the physical harm source</w:t>
      </w:r>
      <w:r>
        <w:t xml:space="preserve">,</w:t>
      </w:r>
    </w:p>
    <w:p>
      <w:pPr>
        <w:pStyle w:val="Compact"/>
        <w:numPr>
          <w:ilvl w:val="0"/>
          <w:numId w:val="1013"/>
        </w:numPr>
      </w:pPr>
      <w:r>
        <w:t xml:space="preserve">reversible where physically and logically possible.</w:t>
      </w:r>
    </w:p>
    <w:bookmarkEnd w:id="23"/>
    <w:bookmarkStart w:id="24" w:name="X62677078547d6a6b6706fca5c2c0b4a04fcd416"/>
    <w:p>
      <w:pPr>
        <w:pStyle w:val="Heading4"/>
      </w:pPr>
      <w:r>
        <w:t xml:space="preserve">4.5 No Justice Substitution</w:t>
      </w:r>
    </w:p>
    <w:p>
      <w:pPr>
        <w:pStyle w:val="FirstParagraph"/>
      </w:pPr>
      <w:r>
        <w:t xml:space="preserve">Defense does not replace Justice. It produces evidence, not verdicts.</w:t>
      </w:r>
    </w:p>
    <w:bookmarkEnd w:id="24"/>
    <w:bookmarkStart w:id="25" w:name="Xc2aa923f6582aa88d169f4b8a5e8f40d77dff2d"/>
    <w:p>
      <w:pPr>
        <w:pStyle w:val="Heading4"/>
      </w:pPr>
      <w:r>
        <w:t xml:space="preserve">4.6 Voluntary Participation Constraint</w:t>
      </w:r>
    </w:p>
    <w:p>
      <w:pPr>
        <w:pStyle w:val="FirstParagraph"/>
      </w:pPr>
      <w:r>
        <w:t xml:space="preserve">No Defensive Action involving Verified Collective Security Risk may be assigned, imposed, or expected of any subject without explicit consent.</w:t>
      </w:r>
    </w:p>
    <w:p>
      <w:pPr>
        <w:pStyle w:val="BodyText"/>
      </w:pPr>
      <w:r>
        <w:t xml:space="preserve">Refusal to participate:</w:t>
      </w:r>
    </w:p>
    <w:p>
      <w:pPr>
        <w:pStyle w:val="Compact"/>
        <w:numPr>
          <w:ilvl w:val="0"/>
          <w:numId w:val="1014"/>
        </w:numPr>
      </w:pPr>
      <w:r>
        <w:t xml:space="preserve">SHALL NOT trigger sanctions,</w:t>
      </w:r>
    </w:p>
    <w:p>
      <w:pPr>
        <w:pStyle w:val="Compact"/>
        <w:numPr>
          <w:ilvl w:val="0"/>
          <w:numId w:val="1014"/>
        </w:numPr>
      </w:pPr>
      <w:r>
        <w:t xml:space="preserve">SHALL NOT reduce baseline civil rights,</w:t>
      </w:r>
    </w:p>
    <w:p>
      <w:pPr>
        <w:pStyle w:val="Compact"/>
        <w:numPr>
          <w:ilvl w:val="0"/>
          <w:numId w:val="1014"/>
        </w:numPr>
      </w:pPr>
      <w:r>
        <w:t xml:space="preserve">SHALL NOT constitute disloyalty, violation, or fault.</w:t>
      </w:r>
    </w:p>
    <w:p>
      <w:r>
        <w:pict>
          <v:rect style="width:0;height:1.5pt" o:hralign="center" o:hrstd="t" o:hr="t"/>
        </w:pict>
      </w:r>
    </w:p>
    <w:bookmarkEnd w:id="25"/>
    <w:bookmarkEnd w:id="26"/>
    <w:bookmarkStart w:id="27" w:name="X99f9c2310175b30f7b00c136d3e49df30f92391"/>
    <w:p>
      <w:pPr>
        <w:pStyle w:val="Heading3"/>
      </w:pPr>
      <w:r>
        <w:t xml:space="preserve">5. Defense State Model (DTI-Governed)</w:t>
      </w:r>
    </w:p>
    <w:p>
      <w:pPr>
        <w:pStyle w:val="FirstParagraph"/>
      </w:pPr>
      <w:r>
        <w:t xml:space="preserve">Defense operates as a finite-state system indexed by DKP time:</w:t>
      </w:r>
    </w:p>
    <w:p>
      <w:pPr>
        <w:pStyle w:val="BodyText"/>
      </w:pPr>
      <w:r>
        <w:rPr>
          <w:b/>
          <w:bCs/>
        </w:rPr>
        <w:t xml:space="preserve">D0 – No Defense</w:t>
      </w:r>
      <w:r>
        <w:t xml:space="preserve"> </w:t>
      </w:r>
      <w:r>
        <w:t xml:space="preserve">No PTL-confirmed external harm or inevitability vector.</w:t>
      </w:r>
    </w:p>
    <w:p>
      <w:pPr>
        <w:pStyle w:val="BodyText"/>
      </w:pPr>
      <w:r>
        <w:rPr>
          <w:b/>
          <w:bCs/>
        </w:rPr>
        <w:t xml:space="preserve">D1.5 – Alert (Imminent Harm)</w:t>
      </w:r>
      <w:r>
        <w:t xml:space="preserve"> </w:t>
      </w:r>
      <w:r>
        <w:t xml:space="preserve">PTL confirms perimeter violation, hostile system activation, or a Vector of Physical Inevitability. Passive and protective measures are permitted, including shielding, evacuation, redundancy activation, and readiness escalation. No lethal engagement is implied.</w:t>
      </w:r>
    </w:p>
    <w:p>
      <w:pPr>
        <w:pStyle w:val="BodyText"/>
      </w:pPr>
      <w:r>
        <w:rPr>
          <w:b/>
          <w:bCs/>
        </w:rPr>
        <w:t xml:space="preserve">D1 – Active External Harm</w:t>
      </w:r>
      <w:r>
        <w:t xml:space="preserve"> </w:t>
      </w:r>
      <w:r>
        <w:t xml:space="preserve">PTL confirms an active harm stream. Localized defensive actions permitted.</w:t>
      </w:r>
    </w:p>
    <w:p>
      <w:pPr>
        <w:pStyle w:val="BodyText"/>
      </w:pPr>
      <w:r>
        <w:rPr>
          <w:b/>
          <w:bCs/>
        </w:rPr>
        <w:t xml:space="preserve">D2 – Sustained Harm</w:t>
      </w:r>
      <w:r>
        <w:t xml:space="preserve"> </w:t>
      </w:r>
      <w:r>
        <w:t xml:space="preserve">PTL confirms repeated or continuous harm. Expanded containment permitted within hard constraints.</w:t>
      </w:r>
    </w:p>
    <w:p>
      <w:pPr>
        <w:pStyle w:val="BodyText"/>
      </w:pPr>
      <w:r>
        <w:rPr>
          <w:b/>
          <w:bCs/>
        </w:rPr>
        <w:t xml:space="preserve">D3 – Existential Threat</w:t>
      </w:r>
      <w:r>
        <w:t xml:space="preserve"> </w:t>
      </w:r>
      <w:r>
        <w:t xml:space="preserve">PTL confirms harm exceeding axiomatic thresholds (A1/A2) or threat to systemic survival. Mandatory escalation to DKP-4-CRISIS-001.</w:t>
      </w:r>
    </w:p>
    <w:p>
      <w:pPr>
        <w:pStyle w:val="BodyText"/>
      </w:pPr>
      <w:r>
        <w:t xml:space="preserve">Defense SHALL NOT remain in D1.5, D2, or D3 without continuously refreshed PTL confirmation.</w:t>
      </w:r>
    </w:p>
    <w:p>
      <w:r>
        <w:pict>
          <v:rect style="width:0;height:1.5pt" o:hralign="center" o:hrstd="t" o:hr="t"/>
        </w:pict>
      </w:r>
    </w:p>
    <w:bookmarkEnd w:id="27"/>
    <w:bookmarkStart w:id="29" w:name="X567124f63f047fa464087f9f2ce247ae97d69a9"/>
    <w:p>
      <w:pPr>
        <w:pStyle w:val="Heading3"/>
      </w:pPr>
      <w:r>
        <w:t xml:space="preserve">6. Allowed Defensive Actions</w:t>
      </w:r>
    </w:p>
    <w:p>
      <w:pPr>
        <w:pStyle w:val="FirstParagraph"/>
      </w:pPr>
      <w:r>
        <w:t xml:space="preserve">Allowed actions are strictly those that physically stop or contain harm, including but not limited to:</w:t>
      </w:r>
    </w:p>
    <w:p>
      <w:pPr>
        <w:pStyle w:val="Compact"/>
        <w:numPr>
          <w:ilvl w:val="0"/>
          <w:numId w:val="1015"/>
        </w:numPr>
      </w:pPr>
      <w:r>
        <w:t xml:space="preserve">physical shielding or hardening of protected nodes,</w:t>
      </w:r>
    </w:p>
    <w:p>
      <w:pPr>
        <w:pStyle w:val="Compact"/>
        <w:numPr>
          <w:ilvl w:val="0"/>
          <w:numId w:val="1015"/>
        </w:numPr>
      </w:pPr>
      <w:r>
        <w:t xml:space="preserve">interception or disruption of harm-delivery vectors,</w:t>
      </w:r>
    </w:p>
    <w:p>
      <w:pPr>
        <w:pStyle w:val="Compact"/>
        <w:numPr>
          <w:ilvl w:val="0"/>
          <w:numId w:val="1015"/>
        </w:numPr>
      </w:pPr>
      <w:r>
        <w:t xml:space="preserve">disconnection of harm-delivery channels,</w:t>
      </w:r>
    </w:p>
    <w:p>
      <w:pPr>
        <w:pStyle w:val="Compact"/>
        <w:numPr>
          <w:ilvl w:val="0"/>
          <w:numId w:val="1015"/>
        </w:numPr>
      </w:pPr>
      <w:r>
        <w:t xml:space="preserve">isolation or quarantine of compromised segments,</w:t>
      </w:r>
    </w:p>
    <w:p>
      <w:pPr>
        <w:pStyle w:val="Compact"/>
        <w:numPr>
          <w:ilvl w:val="0"/>
          <w:numId w:val="1015"/>
        </w:numPr>
      </w:pPr>
      <w:r>
        <w:t xml:space="preserve">evacuation and safe routing of subjects,</w:t>
      </w:r>
    </w:p>
    <w:p>
      <w:pPr>
        <w:pStyle w:val="Compact"/>
        <w:numPr>
          <w:ilvl w:val="0"/>
          <w:numId w:val="1015"/>
        </w:numPr>
      </w:pPr>
      <w:r>
        <w:t xml:space="preserve">emergency redundancy activation for critical DKP infrastructure.</w:t>
      </w:r>
    </w:p>
    <w:bookmarkStart w:id="28" w:name="Xea8ffffb9a532364f0e9ec5afbd03f37e3309a5"/>
    <w:p>
      <w:pPr>
        <w:pStyle w:val="Heading4"/>
      </w:pPr>
      <w:r>
        <w:t xml:space="preserve">6.1 Neutralization Boundary Rule</w:t>
      </w:r>
    </w:p>
    <w:p>
      <w:pPr>
        <w:pStyle w:val="FirstParagraph"/>
      </w:pPr>
      <w:r>
        <w:t xml:space="preserve">Neutralization of a harm source is permitted</w:t>
      </w:r>
      <w:r>
        <w:t xml:space="preserve"> </w:t>
      </w:r>
      <w:r>
        <w:rPr>
          <w:b/>
          <w:bCs/>
        </w:rPr>
        <w:t xml:space="preserve">only</w:t>
      </w:r>
      <w:r>
        <w:t xml:space="preserve"> </w:t>
      </w:r>
      <w:r>
        <w:t xml:space="preserve">insofar as it is the minimal physical operation required to terminate an active or inevitable harm stream.</w:t>
      </w:r>
    </w:p>
    <w:p>
      <w:pPr>
        <w:pStyle w:val="BodyText"/>
      </w:pPr>
      <w:r>
        <w:t xml:space="preserve">Neutralization MAY occur at the physical location of the harm source when there is no other physically feasible method to terminate the harm stream within the admissible time horizon.</w:t>
      </w:r>
    </w:p>
    <w:p>
      <w:pPr>
        <w:pStyle w:val="BodyText"/>
      </w:pPr>
      <w:r>
        <w:t xml:space="preserve">Neutralization SHALL NOT:</w:t>
      </w:r>
    </w:p>
    <w:p>
      <w:pPr>
        <w:pStyle w:val="Compact"/>
        <w:numPr>
          <w:ilvl w:val="0"/>
          <w:numId w:val="1016"/>
        </w:numPr>
      </w:pPr>
      <w:r>
        <w:t xml:space="preserve">create a new independent harm objective,</w:t>
      </w:r>
    </w:p>
    <w:p>
      <w:pPr>
        <w:pStyle w:val="Compact"/>
        <w:numPr>
          <w:ilvl w:val="0"/>
          <w:numId w:val="1016"/>
        </w:numPr>
      </w:pPr>
      <w:r>
        <w:t xml:space="preserve">be framed, recorded, or executed as retaliation,</w:t>
      </w:r>
    </w:p>
    <w:p>
      <w:pPr>
        <w:pStyle w:val="Compact"/>
        <w:numPr>
          <w:ilvl w:val="0"/>
          <w:numId w:val="1016"/>
        </w:numPr>
      </w:pPr>
      <w:r>
        <w:t xml:space="preserve">include persistent presence, governance, or occupation.</w:t>
      </w:r>
    </w:p>
    <w:p>
      <w:pPr>
        <w:pStyle w:val="FirstParagraph"/>
      </w:pPr>
      <w:r>
        <w:t xml:space="preserve">Any action involving Verified Collective Security Risk MAY ONLY be executed by Voluntary Defense Participants.</w:t>
      </w:r>
    </w:p>
    <w:p>
      <w:r>
        <w:pict>
          <v:rect style="width:0;height:1.5pt" o:hralign="center" o:hrstd="t" o:hr="t"/>
        </w:pict>
      </w:r>
    </w:p>
    <w:bookmarkEnd w:id="28"/>
    <w:bookmarkEnd w:id="29"/>
    <w:bookmarkStart w:id="30" w:name="X6aefd470d3981da0f6b7ec4901f7d8441ac982e"/>
    <w:p>
      <w:pPr>
        <w:pStyle w:val="Heading3"/>
      </w:pPr>
      <w:r>
        <w:t xml:space="preserve">7. Prohibited Actions (Hard Bans)</w:t>
      </w:r>
    </w:p>
    <w:p>
      <w:pPr>
        <w:pStyle w:val="FirstParagraph"/>
      </w:pPr>
      <w:r>
        <w:t xml:space="preserve">Defense SHALL NOT be used for:</w:t>
      </w:r>
    </w:p>
    <w:p>
      <w:pPr>
        <w:pStyle w:val="Compact"/>
        <w:numPr>
          <w:ilvl w:val="0"/>
          <w:numId w:val="1017"/>
        </w:numPr>
      </w:pPr>
      <w:r>
        <w:t xml:space="preserve">speculative or narrative-based preemptive strikes,</w:t>
      </w:r>
    </w:p>
    <w:p>
      <w:pPr>
        <w:pStyle w:val="Compact"/>
        <w:numPr>
          <w:ilvl w:val="0"/>
          <w:numId w:val="1017"/>
        </w:numPr>
      </w:pPr>
      <w:r>
        <w:t xml:space="preserve">collective responsibility or punishment,</w:t>
      </w:r>
    </w:p>
    <w:p>
      <w:pPr>
        <w:pStyle w:val="Compact"/>
        <w:numPr>
          <w:ilvl w:val="0"/>
          <w:numId w:val="1017"/>
        </w:numPr>
      </w:pPr>
      <w:r>
        <w:t xml:space="preserve">retaliation as an objective,</w:t>
      </w:r>
    </w:p>
    <w:p>
      <w:pPr>
        <w:pStyle w:val="Compact"/>
        <w:numPr>
          <w:ilvl w:val="0"/>
          <w:numId w:val="1017"/>
        </w:numPr>
      </w:pPr>
      <w:r>
        <w:t xml:space="preserve">territorial capture or permanent occupation,</w:t>
      </w:r>
    </w:p>
    <w:p>
      <w:pPr>
        <w:pStyle w:val="Compact"/>
        <w:numPr>
          <w:ilvl w:val="0"/>
          <w:numId w:val="1017"/>
        </w:numPr>
      </w:pPr>
      <w:r>
        <w:t xml:space="preserve">economic punishment or sanctions,</w:t>
      </w:r>
    </w:p>
    <w:p>
      <w:pPr>
        <w:pStyle w:val="Compact"/>
        <w:numPr>
          <w:ilvl w:val="0"/>
          <w:numId w:val="1017"/>
        </w:numPr>
      </w:pPr>
      <w:r>
        <w:t xml:space="preserve">forced political alignment or governance.</w:t>
      </w:r>
    </w:p>
    <w:p>
      <w:pPr>
        <w:pStyle w:val="FirstParagraph"/>
      </w:pPr>
      <w:r>
        <w:t xml:space="preserve">Any such use constitutes a protocol breach.</w:t>
      </w:r>
    </w:p>
    <w:p>
      <w:r>
        <w:pict>
          <v:rect style="width:0;height:1.5pt" o:hralign="center" o:hrstd="t" o:hr="t"/>
        </w:pict>
      </w:r>
    </w:p>
    <w:bookmarkEnd w:id="30"/>
    <w:bookmarkStart w:id="31" w:name="X8cce3723c3ecb45378ded217d98f5012094ec9f"/>
    <w:p>
      <w:pPr>
        <w:pStyle w:val="Heading3"/>
      </w:pPr>
      <w:r>
        <w:t xml:space="preserve">8. Interaction with Justice, Identity, and Risk Symmetry</w:t>
      </w:r>
    </w:p>
    <w:p>
      <w:pPr>
        <w:pStyle w:val="FirstParagraph"/>
      </w:pPr>
      <w:r>
        <w:t xml:space="preserve">Defense does not determine legitimacy or fault.</w:t>
      </w:r>
    </w:p>
    <w:p>
      <w:pPr>
        <w:pStyle w:val="BodyText"/>
      </w:pPr>
      <w:r>
        <w:t xml:space="preserve">Defense produces PTL-anchored evidence usable by DKP-1-JUSTICE-001.</w:t>
      </w:r>
    </w:p>
    <w:p>
      <w:pPr>
        <w:pStyle w:val="BodyText"/>
      </w:pPr>
      <w:r>
        <w:t xml:space="preserve">When PTL confirms an identifiable external harm source, Defense logs SHALL automatically generate a</w:t>
      </w:r>
      <w:r>
        <w:t xml:space="preserve"> </w:t>
      </w:r>
      <w:r>
        <w:rPr>
          <w:b/>
          <w:bCs/>
        </w:rPr>
        <w:t xml:space="preserve">Resource Recovery Claim</w:t>
      </w:r>
      <w:r>
        <w:t xml:space="preserve"> </w:t>
      </w:r>
      <w:r>
        <w:t xml:space="preserve">routed to DKP-1-JUSTICE-001 for adjudication of restitution and cost recovery. Defense itself SHALL NOT pursue compensation.</w:t>
      </w:r>
    </w:p>
    <w:p>
      <w:pPr>
        <w:pStyle w:val="BodyText"/>
      </w:pPr>
      <w:r>
        <w:t xml:space="preserve">Participation or non-participation in Verified Collective Security Risk SHALL be forwarded to DKP-1-IDENTITY-001 and DKP-2-FINANCE-001</w:t>
      </w:r>
      <w:r>
        <w:t xml:space="preserve"> </w:t>
      </w:r>
      <w:r>
        <w:rPr>
          <w:b/>
          <w:bCs/>
        </w:rPr>
        <w:t xml:space="preserve">solely for risk-symmetry accounting and compensation logic</w:t>
      </w:r>
      <w:r>
        <w:t xml:space="preserve">, without moral, punitive, or reputational interpretation.</w:t>
      </w:r>
    </w:p>
    <w:p>
      <w:pPr>
        <w:pStyle w:val="BodyText"/>
      </w:pPr>
      <w:r>
        <w:t xml:space="preserve">Defense automatically winds down when:</w:t>
      </w:r>
    </w:p>
    <w:p>
      <w:pPr>
        <w:pStyle w:val="Compact"/>
        <w:numPr>
          <w:ilvl w:val="0"/>
          <w:numId w:val="1018"/>
        </w:numPr>
      </w:pPr>
      <w:r>
        <w:t xml:space="preserve">PTL confirms the harm stream has ceased or been neutralized, and</w:t>
      </w:r>
    </w:p>
    <w:p>
      <w:pPr>
        <w:pStyle w:val="Compact"/>
        <w:numPr>
          <w:ilvl w:val="0"/>
          <w:numId w:val="1018"/>
        </w:numPr>
      </w:pPr>
      <w:r>
        <w:t xml:space="preserve">admissible system states are restored.</w:t>
      </w:r>
    </w:p>
    <w:p>
      <w:r>
        <w:pict>
          <v:rect style="width:0;height:1.5pt" o:hralign="center" o:hrstd="t" o:hr="t"/>
        </w:pict>
      </w:r>
    </w:p>
    <w:bookmarkEnd w:id="31"/>
    <w:bookmarkStart w:id="32" w:name="X71c509b10e3e1dded2387d1c68a83fe9202db86"/>
    <w:p>
      <w:pPr>
        <w:pStyle w:val="Heading3"/>
      </w:pPr>
      <w:r>
        <w:t xml:space="preserve">9. Escalation Rules</w:t>
      </w:r>
    </w:p>
    <w:p>
      <w:pPr>
        <w:pStyle w:val="FirstParagraph"/>
      </w:pPr>
      <w:r>
        <w:t xml:space="preserve">Defense MUST escalate to DKP-4-CRISIS-001 when PTL confirms:</w:t>
      </w:r>
    </w:p>
    <w:p>
      <w:pPr>
        <w:pStyle w:val="Compact"/>
        <w:numPr>
          <w:ilvl w:val="0"/>
          <w:numId w:val="1019"/>
        </w:numPr>
      </w:pPr>
      <w:r>
        <w:t xml:space="preserve">axiomatic boundary breach risk,</w:t>
      </w:r>
    </w:p>
    <w:p>
      <w:pPr>
        <w:pStyle w:val="Compact"/>
        <w:numPr>
          <w:ilvl w:val="0"/>
          <w:numId w:val="1019"/>
        </w:numPr>
      </w:pPr>
      <w:r>
        <w:t xml:space="preserve">insufficiency of defensive measures,</w:t>
      </w:r>
    </w:p>
    <w:p>
      <w:pPr>
        <w:pStyle w:val="Compact"/>
        <w:numPr>
          <w:ilvl w:val="0"/>
          <w:numId w:val="1019"/>
        </w:numPr>
      </w:pPr>
      <w:r>
        <w:t xml:space="preserve">systemic or cascading harm beyond containment capacity.</w:t>
      </w:r>
    </w:p>
    <w:p>
      <w:r>
        <w:pict>
          <v:rect style="width:0;height:1.5pt" o:hralign="center" o:hrstd="t" o:hr="t"/>
        </w:pict>
      </w:r>
    </w:p>
    <w:bookmarkEnd w:id="32"/>
    <w:bookmarkStart w:id="33" w:name="X383af5d4ba74edac380b146dfdc99dc2d827b04"/>
    <w:p>
      <w:pPr>
        <w:pStyle w:val="Heading3"/>
      </w:pPr>
      <w:r>
        <w:t xml:space="preserve">10. Audit, Transparency, and Evidence Commitments</w:t>
      </w:r>
    </w:p>
    <w:p>
      <w:pPr>
        <w:pStyle w:val="FirstParagraph"/>
      </w:pPr>
      <w:r>
        <w:t xml:space="preserve">Every Defensive Action MUST be:</w:t>
      </w:r>
    </w:p>
    <w:p>
      <w:pPr>
        <w:pStyle w:val="Compact"/>
        <w:numPr>
          <w:ilvl w:val="0"/>
          <w:numId w:val="1020"/>
        </w:numPr>
      </w:pPr>
      <w:r>
        <w:t xml:space="preserve">indexed by DTI,</w:t>
      </w:r>
    </w:p>
    <w:p>
      <w:pPr>
        <w:pStyle w:val="Compact"/>
        <w:numPr>
          <w:ilvl w:val="0"/>
          <w:numId w:val="1020"/>
        </w:numPr>
      </w:pPr>
      <w:r>
        <w:t xml:space="preserve">anchored to PTL evidence,</w:t>
      </w:r>
    </w:p>
    <w:p>
      <w:pPr>
        <w:pStyle w:val="Compact"/>
        <w:numPr>
          <w:ilvl w:val="0"/>
          <w:numId w:val="1020"/>
        </w:numPr>
      </w:pPr>
      <w:r>
        <w:t xml:space="preserve">logged in a tamper-evident manner.</w:t>
      </w:r>
    </w:p>
    <w:p>
      <w:pPr>
        <w:pStyle w:val="FirstParagraph"/>
      </w:pPr>
      <w:r>
        <w:t xml:space="preserve">Defense logs SHALL be publicly verifiable</w:t>
      </w:r>
      <w:r>
        <w:t xml:space="preserve"> </w:t>
      </w:r>
      <w:r>
        <w:rPr>
          <w:b/>
          <w:bCs/>
        </w:rPr>
        <w:t xml:space="preserve">post-factum</w:t>
      </w:r>
      <w:r>
        <w:t xml:space="preserve"> </w:t>
      </w:r>
      <w:r>
        <w:t xml:space="preserve">under transparency, delay, and redaction rules defined by higher-layer governance and audit protocols.</w:t>
      </w:r>
    </w:p>
    <w:p>
      <w:r>
        <w:pict>
          <v:rect style="width:0;height:1.5pt" o:hralign="center" o:hrstd="t" o:hr="t"/>
        </w:pict>
      </w:r>
    </w:p>
    <w:bookmarkEnd w:id="33"/>
    <w:bookmarkStart w:id="34" w:name="X07d84be3f11917212081277158af82a2ec467a7"/>
    <w:p>
      <w:pPr>
        <w:pStyle w:val="Heading3"/>
      </w:pPr>
      <w:r>
        <w:t xml:space="preserve">11. Cross-Layer Isolation</w:t>
      </w:r>
    </w:p>
    <w:p>
      <w:pPr>
        <w:pStyle w:val="FirstParagraph"/>
      </w:pPr>
      <w:r>
        <w:t xml:space="preserve">DKP-3-DEFENSE-001 SHALL NOT:</w:t>
      </w:r>
    </w:p>
    <w:p>
      <w:pPr>
        <w:pStyle w:val="Compact"/>
        <w:numPr>
          <w:ilvl w:val="0"/>
          <w:numId w:val="1021"/>
        </w:numPr>
      </w:pPr>
      <w:r>
        <w:t xml:space="preserve">alter economic rules,</w:t>
      </w:r>
    </w:p>
    <w:p>
      <w:pPr>
        <w:pStyle w:val="Compact"/>
        <w:numPr>
          <w:ilvl w:val="0"/>
          <w:numId w:val="1021"/>
        </w:numPr>
      </w:pPr>
      <w:r>
        <w:t xml:space="preserve">introduce sanctions,</w:t>
      </w:r>
    </w:p>
    <w:p>
      <w:pPr>
        <w:pStyle w:val="Compact"/>
        <w:numPr>
          <w:ilvl w:val="0"/>
          <w:numId w:val="1021"/>
        </w:numPr>
      </w:pPr>
      <w:r>
        <w:t xml:space="preserve">govern information flows,</w:t>
      </w:r>
    </w:p>
    <w:p>
      <w:pPr>
        <w:pStyle w:val="Compact"/>
        <w:numPr>
          <w:ilvl w:val="0"/>
          <w:numId w:val="1021"/>
        </w:numPr>
      </w:pPr>
      <w:r>
        <w:t xml:space="preserve">manage populations,</w:t>
      </w:r>
    </w:p>
    <w:p>
      <w:pPr>
        <w:pStyle w:val="Compact"/>
        <w:numPr>
          <w:ilvl w:val="0"/>
          <w:numId w:val="1021"/>
        </w:numPr>
      </w:pPr>
      <w:r>
        <w:t xml:space="preserve">override Impact or Justice computations.</w:t>
      </w:r>
    </w:p>
    <w:p>
      <w:pPr>
        <w:pStyle w:val="FirstParagraph"/>
      </w:pPr>
      <w:r>
        <w:t xml:space="preserve">Defense is containment, not governance.</w:t>
      </w:r>
    </w:p>
    <w:p>
      <w:r>
        <w:pict>
          <v:rect style="width:0;height:1.5pt" o:hralign="center" o:hrstd="t" o:hr="t"/>
        </w:pict>
      </w:r>
    </w:p>
    <w:bookmarkEnd w:id="34"/>
    <w:bookmarkStart w:id="35" w:name="X9632dc1e446e96d86d4dd417625109f0888d4c3"/>
    <w:p>
      <w:pPr>
        <w:pStyle w:val="Heading3"/>
      </w:pPr>
      <w:r>
        <w:t xml:space="preserve">12. Finality Clause</w:t>
      </w:r>
    </w:p>
    <w:p>
      <w:pPr>
        <w:pStyle w:val="FirstParagraph"/>
      </w:pPr>
      <w:r>
        <w:t xml:space="preserve">This protocol is changed only through the controlled procedure of DKP-4-UPGRADE-001: proposal, simulation under DKP-8-SIMULATION-001, audit under DKP-8-AUDIT-001, acceptance conditions, activation window and rollback.</w:t>
      </w:r>
    </w:p>
    <w:p>
      <w:pPr>
        <w:pStyle w:val="BodyText"/>
      </w:pPr>
      <w:r>
        <w:t xml:space="preserve">In addition:</w:t>
      </w:r>
    </w:p>
    <w:p>
      <w:pPr>
        <w:pStyle w:val="Compact"/>
        <w:numPr>
          <w:ilvl w:val="0"/>
          <w:numId w:val="1022"/>
        </w:numPr>
      </w:pPr>
      <w:r>
        <w:t xml:space="preserve">any modification requires a new protocol identifier,</w:t>
      </w:r>
    </w:p>
    <w:p>
      <w:pPr>
        <w:pStyle w:val="Compact"/>
        <w:numPr>
          <w:ilvl w:val="0"/>
          <w:numId w:val="1022"/>
        </w:numPr>
      </w:pPr>
      <w:r>
        <w:t xml:space="preserve">explicit incompatibility declaration,</w:t>
      </w:r>
    </w:p>
    <w:p>
      <w:pPr>
        <w:pStyle w:val="Compact"/>
        <w:numPr>
          <w:ilvl w:val="0"/>
          <w:numId w:val="1022"/>
        </w:numPr>
      </w:pPr>
      <w:r>
        <w:t xml:space="preserve">mandatory system simulation under DKP-8-SIMULATION-001,</w:t>
      </w:r>
    </w:p>
    <w:p>
      <w:pPr>
        <w:pStyle w:val="Compact"/>
        <w:numPr>
          <w:ilvl w:val="0"/>
          <w:numId w:val="1022"/>
        </w:numPr>
      </w:pPr>
      <w:r>
        <w:t xml:space="preserve">public disclosure under transparency rules.</w:t>
      </w:r>
    </w:p>
    <w:p>
      <w:pPr>
        <w:pStyle w:val="FirstParagraph"/>
      </w:pPr>
      <w:r>
        <w:t xml:space="preserve">Presentation-only corrections that do not change normative content are not Upgrades (DKP-4-UPGRADE-001 §3); they are recorded only by the "Last updated" date of this document.</w:t>
      </w:r>
    </w:p>
    <w:p>
      <w:pPr>
        <w:pStyle w:val="BodyText"/>
      </w:pPr>
      <w:r>
        <w:t xml:space="preserve">Edition integrity: the SHA-256 digest of the canonical source of each published edition is listed in</w:t>
      </w:r>
      <w:r>
        <w:t xml:space="preserve"> </w:t>
      </w:r>
      <w:r>
        <w:rPr>
          <w:rStyle w:val="VerbatimChar"/>
        </w:rPr>
        <w:t xml:space="preserve">SHA256SUMS.txt</w:t>
      </w:r>
      <w:r>
        <w:t xml:space="preserve"> </w:t>
      </w:r>
      <w:r>
        <w:t xml:space="preserve">of the canonical repository (github.com/anahronic/World).</w:t>
      </w:r>
    </w:p>
    <w:p>
      <w:pPr>
        <w:pStyle w:val="BodyText"/>
      </w:pPr>
      <w:r>
        <w:t xml:space="preserve">END OF PROTOCOL</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2026-10-04T10:23:47Z</dcterms:created>
  <dcterms:modified xsi:type="dcterms:W3CDTF">2026-10-04T10:23:47Z</dcterms:modified>
</cp:coreProperties>
</file>

<file path=docProps/custom.xml><?xml version="1.0" encoding="utf-8"?>
<Properties xmlns="http://schemas.openxmlformats.org/officeDocument/2006/custom-properties" xmlns:vt="http://schemas.openxmlformats.org/officeDocument/2006/docPropsVTypes"/>
</file>