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kp-3-internal-sec-001"/>
    <w:p>
      <w:pPr>
        <w:pStyle w:val="Heading1"/>
      </w:pPr>
      <w:r>
        <w:t xml:space="preserve">DKP-3-INTERNAL-SEC-001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Internal Security &amp; System Integrity Protocol</w:t>
      </w:r>
    </w:p>
    <w:p>
      <w:r>
        <w:pict>
          <v:rect style="width:0;height:1.5pt" o:hralign="center" o:hrstd="t" o:hr="t"/>
        </w:pict>
      </w:r>
    </w:p>
    <w:bookmarkStart w:id="9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Internal Security &amp; System Integrity Protocol defines how the Dikenocracy system preserves its internal coherence, correctness, and causal integrity in the presence of errors, manipulation attempts, or hostile actions.</w:t>
      </w:r>
    </w:p>
    <w:p>
      <w:pPr>
        <w:pStyle w:val="BodyText"/>
      </w:pPr>
      <w:r>
        <w:t xml:space="preserve">Internal Security within DKP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defined as surveillance, prediction, profiling, or ideological control. It is defined strictly as a functional mechanism for:</w:t>
      </w:r>
    </w:p>
    <w:p>
      <w:pPr>
        <w:pStyle w:val="Compact"/>
        <w:numPr>
          <w:ilvl w:val="0"/>
          <w:numId w:val="1001"/>
        </w:numPr>
      </w:pPr>
      <w:r>
        <w:t xml:space="preserve">detecting integrity violations anchored in Physical Truth Layer (PTL) outputs,</w:t>
      </w:r>
    </w:p>
    <w:p>
      <w:pPr>
        <w:pStyle w:val="Compact"/>
        <w:numPr>
          <w:ilvl w:val="0"/>
          <w:numId w:val="1001"/>
        </w:numPr>
      </w:pPr>
      <w:r>
        <w:t xml:space="preserve">containing ongoing or imminent system damage,</w:t>
      </w:r>
    </w:p>
    <w:p>
      <w:pPr>
        <w:pStyle w:val="Compact"/>
        <w:numPr>
          <w:ilvl w:val="0"/>
          <w:numId w:val="1001"/>
        </w:numPr>
      </w:pPr>
      <w:r>
        <w:t xml:space="preserve">preventing further distortion of Impact, Identity, Justice, or Economic execution,</w:t>
      </w:r>
    </w:p>
    <w:p>
      <w:pPr>
        <w:pStyle w:val="Compact"/>
        <w:numPr>
          <w:ilvl w:val="0"/>
          <w:numId w:val="1001"/>
        </w:numPr>
      </w:pPr>
      <w:r>
        <w:t xml:space="preserve">escalating unresolved or systemic compromise to Fail-Safe protocols.</w:t>
      </w:r>
    </w:p>
    <w:p>
      <w:pPr>
        <w:pStyle w:val="FirstParagraph"/>
      </w:pPr>
      <w:r>
        <w:t xml:space="preserve">This protocol exists to protect</w:t>
      </w:r>
      <w:r>
        <w:t xml:space="preserve"> </w:t>
      </w:r>
      <w:r>
        <w:rPr>
          <w:b/>
          <w:bCs/>
        </w:rPr>
        <w:t xml:space="preserve">system truth, causal attribution, and execution correctness</w:t>
      </w:r>
      <w:r>
        <w:t xml:space="preserve">, not to judge intent, belief, or loyalty.</w:t>
      </w:r>
    </w:p>
    <w:p>
      <w:r>
        <w:pict>
          <v:rect style="width:0;height:1.5pt" o:hralign="center" o:hrstd="t" o:hr="t"/>
        </w:pict>
      </w:r>
    </w:p>
    <w:bookmarkEnd w:id="9"/>
    <w:bookmarkStart w:id="10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2"/>
        </w:numPr>
      </w:pPr>
      <w:r>
        <w:t xml:space="preserve">strictly downstream of DKP-0-ORACLE-001 (Physical Truth Layer),</w:t>
      </w:r>
    </w:p>
    <w:p>
      <w:pPr>
        <w:pStyle w:val="Compact"/>
        <w:numPr>
          <w:ilvl w:val="0"/>
          <w:numId w:val="1002"/>
        </w:numPr>
      </w:pPr>
      <w:r>
        <w:t xml:space="preserve">downstream of DKP-1-IDENTITY-001, DKP-1-IMPACT-001, DKP-1-JUSTICE-001,</w:t>
      </w:r>
    </w:p>
    <w:p>
      <w:pPr>
        <w:pStyle w:val="Compact"/>
        <w:numPr>
          <w:ilvl w:val="0"/>
          <w:numId w:val="1002"/>
        </w:numPr>
      </w:pPr>
      <w:r>
        <w:t xml:space="preserve">in coordination with DKP-2-FINANCE-001, DKP-2-ASSETS-001, DKP-2-LABOR-001,</w:t>
      </w:r>
    </w:p>
    <w:p>
      <w:pPr>
        <w:pStyle w:val="Compact"/>
        <w:numPr>
          <w:ilvl w:val="0"/>
          <w:numId w:val="1002"/>
        </w:numPr>
      </w:pPr>
      <w:r>
        <w:t xml:space="preserve">upstream of DKP-3-DEFENSE-001 and DKP-3-ANTITERROR-001,</w:t>
      </w:r>
    </w:p>
    <w:p>
      <w:pPr>
        <w:pStyle w:val="Compact"/>
        <w:numPr>
          <w:ilvl w:val="0"/>
          <w:numId w:val="1002"/>
        </w:numPr>
      </w:pPr>
      <w:r>
        <w:t xml:space="preserve">upstream of DKP-4-ERROR-001 and DKP-4-CRISIS-001.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03"/>
        </w:numPr>
      </w:pPr>
      <w:r>
        <w:t xml:space="preserve">redefine Physical Truth,</w:t>
      </w:r>
    </w:p>
    <w:p>
      <w:pPr>
        <w:pStyle w:val="Compact"/>
        <w:numPr>
          <w:ilvl w:val="0"/>
          <w:numId w:val="1003"/>
        </w:numPr>
      </w:pPr>
      <w:r>
        <w:t xml:space="preserve">reinterpret Impact measurements,</w:t>
      </w:r>
    </w:p>
    <w:p>
      <w:pPr>
        <w:pStyle w:val="Compact"/>
        <w:numPr>
          <w:ilvl w:val="0"/>
          <w:numId w:val="1003"/>
        </w:numPr>
      </w:pPr>
      <w:r>
        <w:t xml:space="preserve">compute Justice outcomes,</w:t>
      </w:r>
    </w:p>
    <w:p>
      <w:pPr>
        <w:pStyle w:val="Compact"/>
        <w:numPr>
          <w:ilvl w:val="0"/>
          <w:numId w:val="1003"/>
        </w:numPr>
      </w:pPr>
      <w:r>
        <w:t xml:space="preserve">revoke rights or privileges autonomously,</w:t>
      </w:r>
    </w:p>
    <w:p>
      <w:pPr>
        <w:pStyle w:val="Compact"/>
        <w:numPr>
          <w:ilvl w:val="0"/>
          <w:numId w:val="1003"/>
        </w:numPr>
      </w:pPr>
      <w:r>
        <w:t xml:space="preserve">introduce punishment logic,</w:t>
      </w:r>
    </w:p>
    <w:p>
      <w:pPr>
        <w:pStyle w:val="Compact"/>
        <w:numPr>
          <w:ilvl w:val="0"/>
          <w:numId w:val="1003"/>
        </w:numPr>
      </w:pPr>
      <w:r>
        <w:t xml:space="preserve">override axiomatic constraints.</w:t>
      </w:r>
    </w:p>
    <w:p>
      <w:pPr>
        <w:pStyle w:val="FirstParagraph"/>
      </w:pPr>
      <w:r>
        <w:t xml:space="preserve">All restrictive or corrective effects affecting Subjects SHALL occur exclusively via formal input triggers submitted to DKP-1-JUSTICE-001 or DKP-1-IDENTITY-001, never by direct execution at L3.</w:t>
      </w:r>
    </w:p>
    <w:p>
      <w:r>
        <w:pict>
          <v:rect style="width:0;height:1.5pt" o:hralign="center" o:hrstd="t" o:hr="t"/>
        </w:pict>
      </w:r>
    </w:p>
    <w:bookmarkEnd w:id="10"/>
    <w:bookmarkStart w:id="14" w:name="X181837d14a0515875e67aea3e7a6eb6033519d9"/>
    <w:p>
      <w:pPr>
        <w:pStyle w:val="Heading3"/>
      </w:pPr>
      <w:r>
        <w:t xml:space="preserve">3. Core Definitions</w:t>
      </w:r>
    </w:p>
    <w:bookmarkStart w:id="11" w:name="X31a41e5cd5ac47980572136fb824d136fac842d"/>
    <w:p>
      <w:pPr>
        <w:pStyle w:val="Heading4"/>
      </w:pPr>
      <w:r>
        <w:t xml:space="preserve">3.1 Integrity Violation</w:t>
      </w:r>
    </w:p>
    <w:p>
      <w:pPr>
        <w:pStyle w:val="FirstParagraph"/>
      </w:pPr>
      <w:r>
        <w:t xml:space="preserve">An Integrity Violation is any detectable deviation between:</w:t>
      </w:r>
    </w:p>
    <w:p>
      <w:pPr>
        <w:pStyle w:val="Compact"/>
        <w:numPr>
          <w:ilvl w:val="0"/>
          <w:numId w:val="1004"/>
        </w:numPr>
      </w:pPr>
      <w:r>
        <w:t xml:space="preserve">PTL-confirmed physical state,</w:t>
      </w:r>
    </w:p>
    <w:p>
      <w:pPr>
        <w:pStyle w:val="Compact"/>
        <w:numPr>
          <w:ilvl w:val="0"/>
          <w:numId w:val="1004"/>
        </w:numPr>
      </w:pPr>
      <w:r>
        <w:t xml:space="preserve">protocol-governed system state,</w:t>
      </w:r>
    </w:p>
    <w:p>
      <w:pPr>
        <w:pStyle w:val="Compact"/>
        <w:numPr>
          <w:ilvl w:val="0"/>
          <w:numId w:val="1004"/>
        </w:numPr>
      </w:pPr>
      <w:r>
        <w:t xml:space="preserve">and executed system behavior,</w:t>
      </w:r>
    </w:p>
    <w:p>
      <w:pPr>
        <w:pStyle w:val="FirstParagraph"/>
      </w:pPr>
      <w:r>
        <w:t xml:space="preserve">where such deviation:</w:t>
      </w:r>
    </w:p>
    <w:p>
      <w:pPr>
        <w:pStyle w:val="Compact"/>
        <w:numPr>
          <w:ilvl w:val="0"/>
          <w:numId w:val="1005"/>
        </w:numPr>
      </w:pPr>
      <w:r>
        <w:t xml:space="preserve">distorts attribution, impact measurement, justice computation, or execution,</w:t>
      </w:r>
    </w:p>
    <w:p>
      <w:pPr>
        <w:pStyle w:val="Compact"/>
        <w:numPr>
          <w:ilvl w:val="0"/>
          <w:numId w:val="1005"/>
        </w:numPr>
      </w:pPr>
      <w:r>
        <w:t xml:space="preserve">enables unaccountable or non-auditable state transitions,</w:t>
      </w:r>
    </w:p>
    <w:p>
      <w:pPr>
        <w:pStyle w:val="Compact"/>
        <w:numPr>
          <w:ilvl w:val="0"/>
          <w:numId w:val="1005"/>
        </w:numPr>
      </w:pPr>
      <w:r>
        <w:t xml:space="preserve">or threatens axiomatic bounds.</w:t>
      </w:r>
    </w:p>
    <w:p>
      <w:pPr>
        <w:pStyle w:val="FirstParagraph"/>
      </w:pPr>
      <w:r>
        <w:t xml:space="preserve">Integrity Violations are functional conditions, not moral assessments.</w:t>
      </w:r>
    </w:p>
    <w:p>
      <w:r>
        <w:pict>
          <v:rect style="width:0;height:1.5pt" o:hralign="center" o:hrstd="t" o:hr="t"/>
        </w:pict>
      </w:r>
    </w:p>
    <w:bookmarkEnd w:id="11"/>
    <w:bookmarkStart w:id="12" w:name="X1811e4acd5369de17f5120191a845e0c5d141be"/>
    <w:p>
      <w:pPr>
        <w:pStyle w:val="Heading4"/>
      </w:pPr>
      <w:r>
        <w:t xml:space="preserve">3.2 Internal Threat (DKP-Specific)</w:t>
      </w:r>
    </w:p>
    <w:p>
      <w:pPr>
        <w:pStyle w:val="FirstParagraph"/>
      </w:pPr>
      <w:r>
        <w:t xml:space="preserve">An Internal Threat is any Subject, process, or subsystem that:</w:t>
      </w:r>
    </w:p>
    <w:p>
      <w:pPr>
        <w:pStyle w:val="Compact"/>
        <w:numPr>
          <w:ilvl w:val="0"/>
          <w:numId w:val="1006"/>
        </w:numPr>
      </w:pPr>
      <w:r>
        <w:t xml:space="preserve">attempts to falsify or suppress PTL inputs or outputs,</w:t>
      </w:r>
    </w:p>
    <w:p>
      <w:pPr>
        <w:pStyle w:val="Compact"/>
        <w:numPr>
          <w:ilvl w:val="0"/>
          <w:numId w:val="1006"/>
        </w:numPr>
      </w:pPr>
      <w:r>
        <w:t xml:space="preserve">attempts to spoof, fragment, or obscure Identity attribution,</w:t>
      </w:r>
    </w:p>
    <w:p>
      <w:pPr>
        <w:pStyle w:val="Compact"/>
        <w:numPr>
          <w:ilvl w:val="0"/>
          <w:numId w:val="1006"/>
        </w:numPr>
      </w:pPr>
      <w:r>
        <w:t xml:space="preserve">attempts to manipulate Impact measurement pipelines,</w:t>
      </w:r>
    </w:p>
    <w:p>
      <w:pPr>
        <w:pStyle w:val="Compact"/>
        <w:numPr>
          <w:ilvl w:val="0"/>
          <w:numId w:val="1006"/>
        </w:numPr>
      </w:pPr>
      <w:r>
        <w:t xml:space="preserve">attempts to bypass or override Justice outcomes,</w:t>
      </w:r>
    </w:p>
    <w:p>
      <w:pPr>
        <w:pStyle w:val="Compact"/>
        <w:numPr>
          <w:ilvl w:val="0"/>
          <w:numId w:val="1006"/>
        </w:numPr>
      </w:pPr>
      <w:r>
        <w:t xml:space="preserve">attempts to corrupt audit trails or execution logs,</w:t>
      </w:r>
    </w:p>
    <w:p>
      <w:pPr>
        <w:pStyle w:val="FirstParagraph"/>
      </w:pPr>
      <w:r>
        <w:t xml:space="preserve">and produces or imminently enables an Integrity Violation.</w:t>
      </w:r>
    </w:p>
    <w:p>
      <w:pPr>
        <w:pStyle w:val="BodyText"/>
      </w:pPr>
      <w:r>
        <w:t xml:space="preserve">Intent, ideology, affiliation, or declared motivation SHALL NOT be considered.</w:t>
      </w:r>
    </w:p>
    <w:p>
      <w:r>
        <w:pict>
          <v:rect style="width:0;height:1.5pt" o:hralign="center" o:hrstd="t" o:hr="t"/>
        </w:pict>
      </w:r>
    </w:p>
    <w:bookmarkEnd w:id="12"/>
    <w:bookmarkStart w:id="13" w:name="X69efc07244c12d9b030d3cb6c5679732ef1c6b9"/>
    <w:p>
      <w:pPr>
        <w:pStyle w:val="Heading4"/>
      </w:pPr>
      <w:r>
        <w:t xml:space="preserve">3.3 Evidence</w:t>
      </w:r>
    </w:p>
    <w:p>
      <w:pPr>
        <w:pStyle w:val="FirstParagraph"/>
      </w:pPr>
      <w:r>
        <w:t xml:space="preserve">Evidence is defined exclusively as cryptographically verifiable commitments anchored to the Physical Truth Layer and ultimately to Genesis Block #0.</w:t>
      </w:r>
    </w:p>
    <w:p>
      <w:pPr>
        <w:pStyle w:val="BodyText"/>
      </w:pPr>
      <w:r>
        <w:t xml:space="preserve">Admissible evidence includes:</w:t>
      </w:r>
    </w:p>
    <w:p>
      <w:pPr>
        <w:pStyle w:val="Compact"/>
        <w:numPr>
          <w:ilvl w:val="0"/>
          <w:numId w:val="1007"/>
        </w:numPr>
      </w:pPr>
      <w:r>
        <w:t xml:space="preserve">PTL-signed data hashes,</w:t>
      </w:r>
    </w:p>
    <w:p>
      <w:pPr>
        <w:pStyle w:val="Compact"/>
        <w:numPr>
          <w:ilvl w:val="0"/>
          <w:numId w:val="1007"/>
        </w:numPr>
      </w:pPr>
      <w:r>
        <w:t xml:space="preserve">cryptographic commitments recorded in immutable ledgers,</w:t>
      </w:r>
    </w:p>
    <w:p>
      <w:pPr>
        <w:pStyle w:val="Compact"/>
        <w:numPr>
          <w:ilvl w:val="0"/>
          <w:numId w:val="1007"/>
        </w:numPr>
      </w:pPr>
      <w:r>
        <w:t xml:space="preserve">execution traces whose hashes are anchored to PTL time indices.</w:t>
      </w:r>
    </w:p>
    <w:p>
      <w:pPr>
        <w:pStyle w:val="FirstParagraph"/>
      </w:pPr>
      <w:r>
        <w:t xml:space="preserve">Evidence MUST be:</w:t>
      </w:r>
    </w:p>
    <w:p>
      <w:pPr>
        <w:pStyle w:val="Compact"/>
        <w:numPr>
          <w:ilvl w:val="0"/>
          <w:numId w:val="1008"/>
        </w:numPr>
      </w:pPr>
      <w:r>
        <w:t xml:space="preserve">auditable and reproducible,</w:t>
      </w:r>
    </w:p>
    <w:p>
      <w:pPr>
        <w:pStyle w:val="Compact"/>
        <w:numPr>
          <w:ilvl w:val="0"/>
          <w:numId w:val="1008"/>
        </w:numPr>
      </w:pPr>
      <w:r>
        <w:t xml:space="preserve">temporally indexed using DTI-Day (DKP-0-TIME-001),</w:t>
      </w:r>
    </w:p>
    <w:p>
      <w:pPr>
        <w:pStyle w:val="Compact"/>
        <w:numPr>
          <w:ilvl w:val="0"/>
          <w:numId w:val="1008"/>
        </w:numPr>
      </w:pPr>
      <w:r>
        <w:t xml:space="preserve">immune to discretionary suppression by virtue of cryptographic anchoring,</w:t>
      </w:r>
    </w:p>
    <w:p>
      <w:pPr>
        <w:pStyle w:val="Compact"/>
        <w:numPr>
          <w:ilvl w:val="0"/>
          <w:numId w:val="1008"/>
        </w:numPr>
      </w:pPr>
      <w:r>
        <w:t xml:space="preserve">traceable to Genesis Block #0 and Proof-of-Synergy consensus rules.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e56d584ad39de599797b71225d8300f430fb6a5"/>
    <w:p>
      <w:pPr>
        <w:pStyle w:val="Heading3"/>
      </w:pPr>
      <w:r>
        <w:t xml:space="preserve">4. Core Invariants</w:t>
      </w:r>
    </w:p>
    <w:bookmarkStart w:id="15" w:name="X8e1e1578fa23559f417728300e663eca7adf646"/>
    <w:p>
      <w:pPr>
        <w:pStyle w:val="Heading4"/>
      </w:pPr>
      <w:r>
        <w:t xml:space="preserve">4.1 PTL Supremacy</w:t>
      </w:r>
    </w:p>
    <w:p>
      <w:pPr>
        <w:pStyle w:val="FirstParagraph"/>
      </w:pPr>
      <w:r>
        <w:t xml:space="preserve">No internal security action may redefine or override Physical Truth Layer outputs. Security actions MAY only respond to PTL-confirmed states or PTL-confirmed divergence.</w:t>
      </w:r>
    </w:p>
    <w:p>
      <w:r>
        <w:pict>
          <v:rect style="width:0;height:1.5pt" o:hralign="center" o:hrstd="t" o:hr="t"/>
        </w:pict>
      </w:r>
    </w:p>
    <w:bookmarkEnd w:id="15"/>
    <w:bookmarkStart w:id="16" w:name="X1d6391f0f2776efb85f710a8c1418115c09e42d"/>
    <w:p>
      <w:pPr>
        <w:pStyle w:val="Heading4"/>
      </w:pPr>
      <w:r>
        <w:t xml:space="preserve">4.2 Non-Preemptive Constraint</w:t>
      </w:r>
    </w:p>
    <w:p>
      <w:pPr>
        <w:pStyle w:val="FirstParagraph"/>
      </w:pPr>
      <w:r>
        <w:t xml:space="preserve">No coercive or restrictive action MAY be initiated based on:</w:t>
      </w:r>
    </w:p>
    <w:p>
      <w:pPr>
        <w:pStyle w:val="Compact"/>
        <w:numPr>
          <w:ilvl w:val="0"/>
          <w:numId w:val="1009"/>
        </w:numPr>
      </w:pPr>
      <w:r>
        <w:t xml:space="preserve">prediction,</w:t>
      </w:r>
    </w:p>
    <w:p>
      <w:pPr>
        <w:pStyle w:val="Compact"/>
        <w:numPr>
          <w:ilvl w:val="0"/>
          <w:numId w:val="1009"/>
        </w:numPr>
      </w:pPr>
      <w:r>
        <w:t xml:space="preserve">inferred intent,</w:t>
      </w:r>
    </w:p>
    <w:p>
      <w:pPr>
        <w:pStyle w:val="Compact"/>
        <w:numPr>
          <w:ilvl w:val="0"/>
          <w:numId w:val="1009"/>
        </w:numPr>
      </w:pPr>
      <w:r>
        <w:t xml:space="preserve">ideological alignment,</w:t>
      </w:r>
    </w:p>
    <w:p>
      <w:pPr>
        <w:pStyle w:val="Compact"/>
        <w:numPr>
          <w:ilvl w:val="0"/>
          <w:numId w:val="1009"/>
        </w:numPr>
      </w:pPr>
      <w:r>
        <w:t xml:space="preserve">statistical profiling,</w:t>
      </w:r>
    </w:p>
    <w:p>
      <w:pPr>
        <w:pStyle w:val="Compact"/>
        <w:numPr>
          <w:ilvl w:val="0"/>
          <w:numId w:val="1009"/>
        </w:numPr>
      </w:pPr>
      <w:r>
        <w:t xml:space="preserve">speculative risk modeling.</w:t>
      </w:r>
    </w:p>
    <w:p>
      <w:pPr>
        <w:pStyle w:val="FirstParagraph"/>
      </w:pPr>
      <w:r>
        <w:t xml:space="preserve">Only PTL-evidenced, already occurring integrity violations or active attempts to write invalid or unauthorized state transitions qualify as valid triggers.</w:t>
      </w:r>
    </w:p>
    <w:p>
      <w:r>
        <w:pict>
          <v:rect style="width:0;height:1.5pt" o:hralign="center" o:hrstd="t" o:hr="t"/>
        </w:pict>
      </w:r>
    </w:p>
    <w:bookmarkEnd w:id="16"/>
    <w:bookmarkStart w:id="17" w:name="Xe0d9b3823be12b2b9b3ddbfea8d4a4f2b4f8c2a"/>
    <w:p>
      <w:pPr>
        <w:pStyle w:val="Heading4"/>
      </w:pPr>
      <w:r>
        <w:t xml:space="preserve">4.3 Minimal Necessary Action</w:t>
      </w:r>
    </w:p>
    <w:p>
      <w:pPr>
        <w:pStyle w:val="FirstParagraph"/>
      </w:pPr>
      <w:r>
        <w:t xml:space="preserve">All security actions MUST be:</w:t>
      </w:r>
    </w:p>
    <w:p>
      <w:pPr>
        <w:pStyle w:val="Compact"/>
        <w:numPr>
          <w:ilvl w:val="0"/>
          <w:numId w:val="1010"/>
        </w:numPr>
      </w:pPr>
      <w:r>
        <w:t xml:space="preserve">strictly proportional to the detected integrity loss,</w:t>
      </w:r>
    </w:p>
    <w:p>
      <w:pPr>
        <w:pStyle w:val="Compact"/>
        <w:numPr>
          <w:ilvl w:val="0"/>
          <w:numId w:val="1010"/>
        </w:numPr>
      </w:pPr>
      <w:r>
        <w:t xml:space="preserve">limited in scope and duration,</w:t>
      </w:r>
    </w:p>
    <w:p>
      <w:pPr>
        <w:pStyle w:val="Compact"/>
        <w:numPr>
          <w:ilvl w:val="0"/>
          <w:numId w:val="1010"/>
        </w:numPr>
      </w:pPr>
      <w:r>
        <w:t xml:space="preserve">sufficient only to stop ongoing or imminent damage.</w:t>
      </w:r>
    </w:p>
    <w:p>
      <w:pPr>
        <w:pStyle w:val="FirstParagraph"/>
      </w:pPr>
      <w:r>
        <w:t xml:space="preserve">Permanent or expansive actions require escalation to higher layers.</w:t>
      </w:r>
    </w:p>
    <w:p>
      <w:r>
        <w:pict>
          <v:rect style="width:0;height:1.5pt" o:hralign="center" o:hrstd="t" o:hr="t"/>
        </w:pict>
      </w:r>
    </w:p>
    <w:bookmarkEnd w:id="17"/>
    <w:bookmarkStart w:id="18" w:name="X4dc4e4125b167f87b0d9d619a0a0122248ecca8"/>
    <w:p>
      <w:pPr>
        <w:pStyle w:val="Heading4"/>
      </w:pPr>
      <w:r>
        <w:t xml:space="preserve">4.4 Auditability and Reversibility</w:t>
      </w:r>
    </w:p>
    <w:p>
      <w:pPr>
        <w:pStyle w:val="FirstParagraph"/>
      </w:pPr>
      <w:r>
        <w:t xml:space="preserve">All actions under this protocol MUST be:</w:t>
      </w:r>
    </w:p>
    <w:p>
      <w:pPr>
        <w:pStyle w:val="Compact"/>
        <w:numPr>
          <w:ilvl w:val="0"/>
          <w:numId w:val="1011"/>
        </w:numPr>
      </w:pPr>
      <w:r>
        <w:t xml:space="preserve">logged immutably,</w:t>
      </w:r>
    </w:p>
    <w:p>
      <w:pPr>
        <w:pStyle w:val="Compact"/>
        <w:numPr>
          <w:ilvl w:val="0"/>
          <w:numId w:val="1011"/>
        </w:numPr>
      </w:pPr>
      <w:r>
        <w:t xml:space="preserve">traceable to triggering evidence,</w:t>
      </w:r>
    </w:p>
    <w:p>
      <w:pPr>
        <w:pStyle w:val="Compact"/>
        <w:numPr>
          <w:ilvl w:val="0"/>
          <w:numId w:val="1011"/>
        </w:numPr>
      </w:pPr>
      <w:r>
        <w:t xml:space="preserve">reversible where physically and logically possible.</w:t>
      </w:r>
    </w:p>
    <w:p>
      <w:pPr>
        <w:pStyle w:val="FirstParagraph"/>
      </w:pPr>
      <w:r>
        <w:t xml:space="preserve">Irreversible actions require elevated authorization thresholds and justification.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b9a8c16430fec9aa2ad1046fa70490a0dec2700"/>
    <w:p>
      <w:pPr>
        <w:pStyle w:val="Heading3"/>
      </w:pPr>
      <w:r>
        <w:t xml:space="preserve">5. Security State Model</w:t>
      </w:r>
    </w:p>
    <w:p>
      <w:pPr>
        <w:pStyle w:val="FirstParagraph"/>
      </w:pPr>
      <w:r>
        <w:t xml:space="preserve">The Internal Security layer operates as a finite-state system governed by Dikenocratic Time (DKP-0-TIME-001).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S0 – Normal Operation</w:t>
      </w:r>
    </w:p>
    <w:p>
      <w:pPr>
        <w:numPr>
          <w:ilvl w:val="0"/>
          <w:numId w:val="1000"/>
        </w:numPr>
      </w:pPr>
      <w:r>
        <w:t xml:space="preserve">No detected integrity anomalies.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S1 – Suspicion</w:t>
      </w:r>
    </w:p>
    <w:p>
      <w:pPr>
        <w:numPr>
          <w:ilvl w:val="0"/>
          <w:numId w:val="1000"/>
        </w:numPr>
      </w:pPr>
      <w:r>
        <w:t xml:space="preserve">Non-coercive evidence collection and heightened verification. Maximum duration: 7 DTI-Days.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S2 – Confirmed Integrity Violation</w:t>
      </w:r>
    </w:p>
    <w:p>
      <w:pPr>
        <w:numPr>
          <w:ilvl w:val="0"/>
          <w:numId w:val="1000"/>
        </w:numPr>
      </w:pPr>
      <w:r>
        <w:t xml:space="preserve">Targeted containment actions permitted. Maximum duration: 14 DTI-Days unless escalated.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S3 – Active Compromise</w:t>
      </w:r>
    </w:p>
    <w:p>
      <w:pPr>
        <w:numPr>
          <w:ilvl w:val="0"/>
          <w:numId w:val="1000"/>
        </w:numPr>
      </w:pPr>
      <w:r>
        <w:t xml:space="preserve">Partial system isolation or execution throttling permitted. Maximum duration: 3 DTI-Days.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S4 – Systemic Compromise</w:t>
      </w:r>
    </w:p>
    <w:p>
      <w:pPr>
        <w:numPr>
          <w:ilvl w:val="0"/>
          <w:numId w:val="1000"/>
        </w:numPr>
      </w:pPr>
      <w:r>
        <w:t xml:space="preserve">Mandatory escalation to DKP-4-CRISIS-001.</w:t>
      </w:r>
    </w:p>
    <w:p>
      <w:pPr>
        <w:pStyle w:val="FirstParagraph"/>
      </w:pPr>
      <w:r>
        <w:t xml:space="preserve">State transitions MUST be evidence-driven, auditable, and automatically reverted to S0 upon expiration of the maximum duration unless escalated.</w:t>
      </w:r>
    </w:p>
    <w:p>
      <w:r>
        <w:pict>
          <v:rect style="width:0;height:1.5pt" o:hralign="center" o:hrstd="t" o:hr="t"/>
        </w:pict>
      </w:r>
    </w:p>
    <w:bookmarkEnd w:id="20"/>
    <w:bookmarkStart w:id="21" w:name="X76f1530b2da0f1031a04534f2ff789f88131e26"/>
    <w:p>
      <w:pPr>
        <w:pStyle w:val="Heading3"/>
      </w:pPr>
      <w:r>
        <w:t xml:space="preserve">6. Triggers (PTL-Anchored)</w:t>
      </w:r>
    </w:p>
    <w:p>
      <w:pPr>
        <w:pStyle w:val="FirstParagraph"/>
      </w:pPr>
      <w:r>
        <w:t xml:space="preserve">Integrity response MAY be triggered only by:</w:t>
      </w:r>
    </w:p>
    <w:p>
      <w:pPr>
        <w:pStyle w:val="Compact"/>
        <w:numPr>
          <w:ilvl w:val="0"/>
          <w:numId w:val="1013"/>
        </w:numPr>
      </w:pPr>
      <w:r>
        <w:t xml:space="preserve">Identity Integrity Trigger: PTL-confirmed mismatch in attribution or credential binding,</w:t>
      </w:r>
    </w:p>
    <w:p>
      <w:pPr>
        <w:pStyle w:val="Compact"/>
        <w:numPr>
          <w:ilvl w:val="0"/>
          <w:numId w:val="1013"/>
        </w:numPr>
      </w:pPr>
      <w:r>
        <w:t xml:space="preserve">Impact Integrity Trigger: PTL-confirmed manipulation or suppression of impact channels,</w:t>
      </w:r>
    </w:p>
    <w:p>
      <w:pPr>
        <w:pStyle w:val="Compact"/>
        <w:numPr>
          <w:ilvl w:val="0"/>
          <w:numId w:val="1013"/>
        </w:numPr>
      </w:pPr>
      <w:r>
        <w:t xml:space="preserve">Justice Execution Trigger: unauthorized alteration or bypass of justice outcomes,</w:t>
      </w:r>
    </w:p>
    <w:p>
      <w:pPr>
        <w:pStyle w:val="Compact"/>
        <w:numPr>
          <w:ilvl w:val="0"/>
          <w:numId w:val="1013"/>
        </w:numPr>
      </w:pPr>
      <w:r>
        <w:t xml:space="preserve">Audit Integrity Trigger: PTL-confirmed log tampering or execution opacity.</w:t>
      </w:r>
    </w:p>
    <w:p>
      <w:pPr>
        <w:pStyle w:val="FirstParagraph"/>
      </w:pPr>
      <w:r>
        <w:t xml:space="preserve">Any Physical Truth Layer divergence or oracle inconsistency SHALL be handled exclusively by DKP-0-ORACLE-001. Upon PTL halt or arbitration flag, all L3 execution MUST immediately suspend and defer to L0 resolution.</w:t>
      </w:r>
    </w:p>
    <w:p>
      <w:r>
        <w:pict>
          <v:rect style="width:0;height:1.5pt" o:hralign="center" o:hrstd="t" o:hr="t"/>
        </w:pict>
      </w:r>
    </w:p>
    <w:bookmarkEnd w:id="21"/>
    <w:bookmarkStart w:id="26" w:name="X274b926fa4255cb51a93b7daa382ab524110669"/>
    <w:p>
      <w:pPr>
        <w:pStyle w:val="Heading3"/>
      </w:pPr>
      <w:r>
        <w:t xml:space="preserve">7. Allowed Actions by State</w:t>
      </w:r>
    </w:p>
    <w:bookmarkStart w:id="22" w:name="X8ce1e38ce70db10742d7c0a7f79ba83b4126d28"/>
    <w:p>
      <w:pPr>
        <w:pStyle w:val="Heading4"/>
      </w:pPr>
      <w:r>
        <w:t xml:space="preserve">7.1 S1 – Suspicion</w:t>
      </w:r>
    </w:p>
    <w:p>
      <w:pPr>
        <w:pStyle w:val="FirstParagraph"/>
      </w:pPr>
      <w:r>
        <w:t xml:space="preserve">Permitted actions:</w:t>
      </w:r>
    </w:p>
    <w:p>
      <w:pPr>
        <w:pStyle w:val="Compact"/>
        <w:numPr>
          <w:ilvl w:val="0"/>
          <w:numId w:val="1014"/>
        </w:numPr>
      </w:pPr>
      <w:r>
        <w:t xml:space="preserve">evidence preservation,</w:t>
      </w:r>
    </w:p>
    <w:p>
      <w:pPr>
        <w:pStyle w:val="Compact"/>
        <w:numPr>
          <w:ilvl w:val="0"/>
          <w:numId w:val="1014"/>
        </w:numPr>
      </w:pPr>
      <w:r>
        <w:t xml:space="preserve">increased verification frequency,</w:t>
      </w:r>
    </w:p>
    <w:p>
      <w:pPr>
        <w:pStyle w:val="Compact"/>
        <w:numPr>
          <w:ilvl w:val="0"/>
          <w:numId w:val="1014"/>
        </w:numPr>
      </w:pPr>
      <w:r>
        <w:t xml:space="preserve">mandatory transaction multi-signature requirement for sensitive or high-impact operations,</w:t>
      </w:r>
    </w:p>
    <w:p>
      <w:pPr>
        <w:pStyle w:val="Compact"/>
        <w:numPr>
          <w:ilvl w:val="0"/>
          <w:numId w:val="1014"/>
        </w:numPr>
      </w:pPr>
      <w:r>
        <w:t xml:space="preserve">challenge-response procedures via Identity protocol.</w:t>
      </w:r>
    </w:p>
    <w:p>
      <w:pPr>
        <w:pStyle w:val="FirstParagraph"/>
      </w:pPr>
      <w:r>
        <w:t xml:space="preserve">No artificial throttling, economic slowdown, or discretionary limitation of baseline access is permitted at this stage.</w:t>
      </w:r>
    </w:p>
    <w:p>
      <w:r>
        <w:pict>
          <v:rect style="width:0;height:1.5pt" o:hralign="center" o:hrstd="t" o:hr="t"/>
        </w:pict>
      </w:r>
    </w:p>
    <w:bookmarkEnd w:id="22"/>
    <w:bookmarkStart w:id="23" w:name="X179abb0f29685241d1e6dc62a3449904af87595"/>
    <w:p>
      <w:pPr>
        <w:pStyle w:val="Heading4"/>
      </w:pPr>
      <w:r>
        <w:t xml:space="preserve">7.2 S2 – Confirmed Integrity Violation</w:t>
      </w:r>
    </w:p>
    <w:p>
      <w:pPr>
        <w:pStyle w:val="FirstParagraph"/>
      </w:pPr>
      <w:r>
        <w:t xml:space="preserve">Permitted actions:</w:t>
      </w:r>
    </w:p>
    <w:p>
      <w:pPr>
        <w:pStyle w:val="Compact"/>
        <w:numPr>
          <w:ilvl w:val="0"/>
          <w:numId w:val="1015"/>
        </w:numPr>
      </w:pPr>
      <w:r>
        <w:t xml:space="preserve">scoped privilege revocation (Identity-bound),</w:t>
      </w:r>
    </w:p>
    <w:p>
      <w:pPr>
        <w:pStyle w:val="Compact"/>
        <w:numPr>
          <w:ilvl w:val="0"/>
          <w:numId w:val="1015"/>
        </w:numPr>
      </w:pPr>
      <w:r>
        <w:t xml:space="preserve">isolation of affected subsystems,</w:t>
      </w:r>
    </w:p>
    <w:p>
      <w:pPr>
        <w:pStyle w:val="Compact"/>
        <w:numPr>
          <w:ilvl w:val="0"/>
          <w:numId w:val="1015"/>
        </w:numPr>
      </w:pPr>
      <w:r>
        <w:t xml:space="preserve">temporary freeze of disputed transactions or assets,</w:t>
      </w:r>
    </w:p>
    <w:p>
      <w:pPr>
        <w:pStyle w:val="Compact"/>
        <w:numPr>
          <w:ilvl w:val="0"/>
          <w:numId w:val="1015"/>
        </w:numPr>
      </w:pPr>
      <w:r>
        <w:t xml:space="preserve">initiation of Justice-domain workflows.</w:t>
      </w:r>
    </w:p>
    <w:p>
      <w:r>
        <w:pict>
          <v:rect style="width:0;height:1.5pt" o:hralign="center" o:hrstd="t" o:hr="t"/>
        </w:pict>
      </w:r>
    </w:p>
    <w:bookmarkEnd w:id="23"/>
    <w:bookmarkStart w:id="24" w:name="X6ea4d802fec0628653ba875253b50d0da641f0f"/>
    <w:p>
      <w:pPr>
        <w:pStyle w:val="Heading4"/>
      </w:pPr>
      <w:r>
        <w:t xml:space="preserve">7.3 S3 – Active Compromise</w:t>
      </w:r>
    </w:p>
    <w:p>
      <w:pPr>
        <w:pStyle w:val="FirstParagraph"/>
      </w:pPr>
      <w:r>
        <w:t xml:space="preserve">Permitted actions:</w:t>
      </w:r>
    </w:p>
    <w:p>
      <w:pPr>
        <w:pStyle w:val="Compact"/>
        <w:numPr>
          <w:ilvl w:val="0"/>
          <w:numId w:val="1016"/>
        </w:numPr>
      </w:pPr>
      <w:r>
        <w:t xml:space="preserve">partial execution halt of compromised modules,</w:t>
      </w:r>
    </w:p>
    <w:p>
      <w:pPr>
        <w:pStyle w:val="Compact"/>
        <w:numPr>
          <w:ilvl w:val="0"/>
          <w:numId w:val="1016"/>
        </w:numPr>
      </w:pPr>
      <w:r>
        <w:t xml:space="preserve">forced safe-mode execution,</w:t>
      </w:r>
    </w:p>
    <w:p>
      <w:pPr>
        <w:pStyle w:val="Compact"/>
        <w:numPr>
          <w:ilvl w:val="0"/>
          <w:numId w:val="1016"/>
        </w:numPr>
      </w:pPr>
      <w:r>
        <w:t xml:space="preserve">mandatory multi-party authorization for sensitive operations.</w:t>
      </w:r>
    </w:p>
    <w:p>
      <w:r>
        <w:pict>
          <v:rect style="width:0;height:1.5pt" o:hralign="center" o:hrstd="t" o:hr="t"/>
        </w:pict>
      </w:r>
    </w:p>
    <w:bookmarkEnd w:id="24"/>
    <w:bookmarkStart w:id="25" w:name="X3207a7df2642725e0ed1d12ad401f8b9d2f6a67"/>
    <w:p>
      <w:pPr>
        <w:pStyle w:val="Heading4"/>
      </w:pPr>
      <w:r>
        <w:t xml:space="preserve">7.4 S4 – Systemic Compromise</w:t>
      </w:r>
    </w:p>
    <w:p>
      <w:pPr>
        <w:pStyle w:val="FirstParagraph"/>
      </w:pPr>
      <w:r>
        <w:t xml:space="preserve">Mandatory actions:</w:t>
      </w:r>
    </w:p>
    <w:p>
      <w:pPr>
        <w:pStyle w:val="Compact"/>
        <w:numPr>
          <w:ilvl w:val="0"/>
          <w:numId w:val="1017"/>
        </w:numPr>
      </w:pPr>
      <w:r>
        <w:t xml:space="preserve">escalation to DKP-4-CRISIS-001,</w:t>
      </w:r>
    </w:p>
    <w:p>
      <w:pPr>
        <w:pStyle w:val="Compact"/>
        <w:numPr>
          <w:ilvl w:val="0"/>
          <w:numId w:val="1017"/>
        </w:numPr>
      </w:pPr>
      <w:r>
        <w:t xml:space="preserve">request for PTL systemic halt where applicable,</w:t>
      </w:r>
    </w:p>
    <w:p>
      <w:pPr>
        <w:pStyle w:val="Compact"/>
        <w:numPr>
          <w:ilvl w:val="0"/>
          <w:numId w:val="1017"/>
        </w:numPr>
      </w:pPr>
      <w:r>
        <w:t xml:space="preserve">suspension of non-essential execution paths.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434db821ae63de328a80c63c6d92ec96d4f9613"/>
    <w:p>
      <w:pPr>
        <w:pStyle w:val="Heading3"/>
      </w:pPr>
      <w:r>
        <w:t xml:space="preserve">8. Prohibited Actions (Hard Bans)</w:t>
      </w:r>
    </w:p>
    <w:p>
      <w:pPr>
        <w:pStyle w:val="FirstParagraph"/>
      </w:pPr>
      <w:r>
        <w:t xml:space="preserve">This protocol SHALL NOT permit:</w:t>
      </w:r>
    </w:p>
    <w:p>
      <w:pPr>
        <w:pStyle w:val="Compact"/>
        <w:numPr>
          <w:ilvl w:val="0"/>
          <w:numId w:val="1018"/>
        </w:numPr>
      </w:pPr>
      <w:r>
        <w:t xml:space="preserve">mass surveillance without PTL trigger,</w:t>
      </w:r>
    </w:p>
    <w:p>
      <w:pPr>
        <w:pStyle w:val="Compact"/>
        <w:numPr>
          <w:ilvl w:val="0"/>
          <w:numId w:val="1018"/>
        </w:numPr>
      </w:pPr>
      <w:r>
        <w:t xml:space="preserve">collective punishment or guilt by association,</w:t>
      </w:r>
    </w:p>
    <w:p>
      <w:pPr>
        <w:pStyle w:val="Compact"/>
        <w:numPr>
          <w:ilvl w:val="0"/>
          <w:numId w:val="1018"/>
        </w:numPr>
      </w:pPr>
      <w:r>
        <w:t xml:space="preserve">permanent exclusion without Justice-domain outcome,</w:t>
      </w:r>
    </w:p>
    <w:p>
      <w:pPr>
        <w:pStyle w:val="Compact"/>
        <w:numPr>
          <w:ilvl w:val="0"/>
          <w:numId w:val="1018"/>
        </w:numPr>
      </w:pPr>
      <w:r>
        <w:t xml:space="preserve">secrecy of rules or hidden enforcement logic,</w:t>
      </w:r>
    </w:p>
    <w:p>
      <w:pPr>
        <w:pStyle w:val="Compact"/>
        <w:numPr>
          <w:ilvl w:val="0"/>
          <w:numId w:val="1018"/>
        </w:numPr>
      </w:pPr>
      <w:r>
        <w:t xml:space="preserve">security actions justified by ideology or narrative,</w:t>
      </w:r>
    </w:p>
    <w:p>
      <w:pPr>
        <w:pStyle w:val="Compact"/>
        <w:numPr>
          <w:ilvl w:val="0"/>
          <w:numId w:val="1018"/>
        </w:numPr>
      </w:pPr>
      <w:r>
        <w:t xml:space="preserve">concentration of Internal Security execution control.</w:t>
      </w:r>
    </w:p>
    <w:p>
      <w:pPr>
        <w:pStyle w:val="FirstParagraph"/>
      </w:pPr>
      <w:r>
        <w:t xml:space="preserve">No Subject, nor any Identity-linked group of Subjects, MAY control more than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of nodes executing DKP-3-INTERNAL-SEC-001 logic, as defined by oracle and control concentration limits in DKP-0-ORACLE-001.</w:t>
      </w:r>
    </w:p>
    <w:p>
      <w:pPr>
        <w:pStyle w:val="BodyText"/>
      </w:pPr>
      <w:r>
        <w:t xml:space="preserve">Violation constitutes a critical architectural breach.</w:t>
      </w:r>
    </w:p>
    <w:p>
      <w:r>
        <w:pict>
          <v:rect style="width:0;height:1.5pt" o:hralign="center" o:hrstd="t" o:hr="t"/>
        </w:pict>
      </w:r>
    </w:p>
    <w:bookmarkEnd w:id="27"/>
    <w:bookmarkStart w:id="28" w:name="X7bbb8c1a9bc3e5c16c8ac0b251705f30f916d6f"/>
    <w:p>
      <w:pPr>
        <w:pStyle w:val="Heading3"/>
      </w:pPr>
      <w:r>
        <w:t xml:space="preserve">9. Due Process and Appeals</w:t>
      </w:r>
    </w:p>
    <w:p>
      <w:pPr>
        <w:pStyle w:val="FirstParagraph"/>
      </w:pPr>
      <w:r>
        <w:t xml:space="preserve">All restrictive actions MUST explicitly define:</w:t>
      </w:r>
    </w:p>
    <w:p>
      <w:pPr>
        <w:pStyle w:val="Compact"/>
        <w:numPr>
          <w:ilvl w:val="0"/>
          <w:numId w:val="1019"/>
        </w:numPr>
      </w:pPr>
      <w:r>
        <w:t xml:space="preserve">triggering PTL evidence,</w:t>
      </w:r>
    </w:p>
    <w:p>
      <w:pPr>
        <w:pStyle w:val="Compact"/>
        <w:numPr>
          <w:ilvl w:val="0"/>
          <w:numId w:val="1019"/>
        </w:numPr>
      </w:pPr>
      <w:r>
        <w:t xml:space="preserve">violated invariant or integrity rule,</w:t>
      </w:r>
    </w:p>
    <w:p>
      <w:pPr>
        <w:pStyle w:val="Compact"/>
        <w:numPr>
          <w:ilvl w:val="0"/>
          <w:numId w:val="1019"/>
        </w:numPr>
      </w:pPr>
      <w:r>
        <w:t xml:space="preserve">applied containment scope,</w:t>
      </w:r>
    </w:p>
    <w:p>
      <w:pPr>
        <w:pStyle w:val="Compact"/>
        <w:numPr>
          <w:ilvl w:val="0"/>
          <w:numId w:val="1019"/>
        </w:numPr>
      </w:pPr>
      <w:r>
        <w:t xml:space="preserve">reversal and appeal conditions under Justice protocol.</w:t>
      </w:r>
    </w:p>
    <w:p>
      <w:r>
        <w:pict>
          <v:rect style="width:0;height:1.5pt" o:hralign="center" o:hrstd="t" o:hr="t"/>
        </w:pict>
      </w:r>
    </w:p>
    <w:bookmarkEnd w:id="28"/>
    <w:bookmarkStart w:id="29" w:name="X035ac8d12678d8f85e9b1752891100df5c6a742"/>
    <w:p>
      <w:pPr>
        <w:pStyle w:val="Heading3"/>
      </w:pPr>
      <w:r>
        <w:t xml:space="preserve">10. Cross-Layer Interfaces</w:t>
      </w:r>
    </w:p>
    <w:p>
      <w:pPr>
        <w:pStyle w:val="FirstParagraph"/>
      </w:pPr>
      <w:r>
        <w:t xml:space="preserve">This protocol interfaces with:</w:t>
      </w:r>
    </w:p>
    <w:p>
      <w:pPr>
        <w:pStyle w:val="Compact"/>
        <w:numPr>
          <w:ilvl w:val="0"/>
          <w:numId w:val="1020"/>
        </w:numPr>
      </w:pPr>
      <w:r>
        <w:t xml:space="preserve">Identity: attribution, revocation, revalidation,</w:t>
      </w:r>
    </w:p>
    <w:p>
      <w:pPr>
        <w:pStyle w:val="Compact"/>
        <w:numPr>
          <w:ilvl w:val="0"/>
          <w:numId w:val="1020"/>
        </w:numPr>
      </w:pPr>
      <w:r>
        <w:t xml:space="preserve">Impact: pipeline integrity verification,</w:t>
      </w:r>
    </w:p>
    <w:p>
      <w:pPr>
        <w:pStyle w:val="Compact"/>
        <w:numPr>
          <w:ilvl w:val="0"/>
          <w:numId w:val="1020"/>
        </w:numPr>
      </w:pPr>
      <w:r>
        <w:t xml:space="preserve">Justice: consequence computation and escalation,</w:t>
      </w:r>
    </w:p>
    <w:p>
      <w:pPr>
        <w:pStyle w:val="Compact"/>
        <w:numPr>
          <w:ilvl w:val="0"/>
          <w:numId w:val="1020"/>
        </w:numPr>
      </w:pPr>
      <w:r>
        <w:t xml:space="preserve">Finance &amp; Assets: freeze / restore semantics,</w:t>
      </w:r>
    </w:p>
    <w:p>
      <w:pPr>
        <w:pStyle w:val="Compact"/>
        <w:numPr>
          <w:ilvl w:val="0"/>
          <w:numId w:val="1020"/>
        </w:numPr>
      </w:pPr>
      <w:r>
        <w:t xml:space="preserve">Infrastructure &amp; Audit (L8): immutability and verification.</w:t>
      </w:r>
    </w:p>
    <w:p>
      <w:r>
        <w:pict>
          <v:rect style="width:0;height:1.5pt" o:hralign="center" o:hrstd="t" o:hr="t"/>
        </w:pict>
      </w:r>
    </w:p>
    <w:bookmarkEnd w:id="29"/>
    <w:bookmarkStart w:id="30" w:name="X2987bf512d5d392f17cd92989e100d12a65489f"/>
    <w:p>
      <w:pPr>
        <w:pStyle w:val="Heading3"/>
      </w:pPr>
      <w:r>
        <w:t xml:space="preserve">11. Protocol Self-Tests</w:t>
      </w:r>
    </w:p>
    <w:p>
      <w:pPr>
        <w:pStyle w:val="FirstParagraph"/>
      </w:pPr>
      <w:r>
        <w:t xml:space="preserve">The following invariants MUST always hold:</w:t>
      </w:r>
    </w:p>
    <w:p>
      <w:pPr>
        <w:pStyle w:val="Compact"/>
        <w:numPr>
          <w:ilvl w:val="0"/>
          <w:numId w:val="1021"/>
        </w:numPr>
      </w:pPr>
      <w:r>
        <w:t xml:space="preserve">No PTL evidence → no coercive action,</w:t>
      </w:r>
    </w:p>
    <w:p>
      <w:pPr>
        <w:pStyle w:val="Compact"/>
        <w:numPr>
          <w:ilvl w:val="0"/>
          <w:numId w:val="1021"/>
        </w:numPr>
      </w:pPr>
      <w:r>
        <w:t xml:space="preserve">Minimal sufficient containment,</w:t>
      </w:r>
    </w:p>
    <w:p>
      <w:pPr>
        <w:pStyle w:val="Compact"/>
        <w:numPr>
          <w:ilvl w:val="0"/>
          <w:numId w:val="1021"/>
        </w:numPr>
      </w:pPr>
      <w:r>
        <w:t xml:space="preserve">Complete audit trail,</w:t>
      </w:r>
    </w:p>
    <w:p>
      <w:pPr>
        <w:pStyle w:val="Compact"/>
        <w:numPr>
          <w:ilvl w:val="0"/>
          <w:numId w:val="1021"/>
        </w:numPr>
      </w:pPr>
      <w:r>
        <w:t xml:space="preserve">Preference for reversibility,</w:t>
      </w:r>
    </w:p>
    <w:p>
      <w:pPr>
        <w:pStyle w:val="Compact"/>
        <w:numPr>
          <w:ilvl w:val="0"/>
          <w:numId w:val="1021"/>
        </w:numPr>
      </w:pPr>
      <w:r>
        <w:t xml:space="preserve">No cross-layer authority overreach.</w:t>
      </w:r>
    </w:p>
    <w:p>
      <w:r>
        <w:pict>
          <v:rect style="width:0;height:1.5pt" o:hralign="center" o:hrstd="t" o:hr="t"/>
        </w:pict>
      </w:r>
    </w:p>
    <w:bookmarkEnd w:id="30"/>
    <w:bookmarkStart w:id="31" w:name="X92af478ba5064da8a5be3e14fcb60f2d7c99a45"/>
    <w:p>
      <w:pPr>
        <w:pStyle w:val="Heading3"/>
      </w:pPr>
      <w:r>
        <w:t xml:space="preserve">12. Versioning and Finality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22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22"/>
        </w:numPr>
      </w:pPr>
      <w:r>
        <w:t xml:space="preserve">explicit incompatibility declaration,</w:t>
      </w:r>
    </w:p>
    <w:p>
      <w:pPr>
        <w:pStyle w:val="Compact"/>
        <w:numPr>
          <w:ilvl w:val="0"/>
          <w:numId w:val="1022"/>
        </w:numPr>
      </w:pPr>
      <w:r>
        <w:t xml:space="preserve">full-system simulation under DKP-8-SIMULATION.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t xml:space="preserve">END OF PROTOCOL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2026-10-04T10:23:47Z</dcterms:created>
  <dcterms:modified xsi:type="dcterms:W3CDTF">2026-10-04T10:23:47Z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