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kp-3-police-001"/>
    <w:p>
      <w:pPr>
        <w:pStyle w:val="Heading1"/>
      </w:pPr>
      <w:r>
        <w:t xml:space="preserve">DKP-3-POLICE-001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Public Order &amp; Physical Enforcement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2"/>
      </w:pPr>
      <w:r>
        <w:t xml:space="preserve">0. Preamble</w:t>
      </w:r>
    </w:p>
    <w:p>
      <w:pPr>
        <w:pStyle w:val="FirstParagraph"/>
      </w:pPr>
      <w:r>
        <w:t xml:space="preserve">DKP-3-POLICE-001 defines the strictly limited role, authority, and constraints of policing within Dikenocracy.</w:t>
      </w:r>
    </w:p>
    <w:p>
      <w:pPr>
        <w:pStyle w:val="BodyText"/>
      </w:pPr>
      <w:r>
        <w:t xml:space="preserve">Policing is treated as a physical enforcement interface, not as a moral authority, investigative ideology, or discretionary power structure.</w:t>
      </w:r>
    </w:p>
    <w:p>
      <w:pPr>
        <w:pStyle w:val="BodyText"/>
      </w:pPr>
      <w:r>
        <w:t xml:space="preserve">The sole function of police within DKP is to:</w:t>
      </w:r>
    </w:p>
    <w:p>
      <w:pPr>
        <w:pStyle w:val="BodyText"/>
      </w:pPr>
      <w:r>
        <w:t xml:space="preserve">prevent immediate physical harm,</w:t>
      </w:r>
    </w:p>
    <w:p>
      <w:pPr>
        <w:pStyle w:val="BodyText"/>
      </w:pPr>
      <w:r>
        <w:t xml:space="preserve">enforce PTL-verified prohibitions,</w:t>
      </w:r>
    </w:p>
    <w:p>
      <w:pPr>
        <w:pStyle w:val="BodyText"/>
      </w:pPr>
      <w:r>
        <w:t xml:space="preserve">execute system decisions already determined by higher layers,</w:t>
      </w:r>
    </w:p>
    <w:p>
      <w:pPr>
        <w:pStyle w:val="BodyText"/>
      </w:pPr>
      <w:r>
        <w:t xml:space="preserve">preserve public order without interpretation of intent, belief, or ideology.</w:t>
      </w:r>
    </w:p>
    <w:p>
      <w:pPr>
        <w:pStyle w:val="BodyText"/>
      </w:pPr>
      <w:r>
        <w:t xml:space="preserve">Police do not define law, policy, justice, guilt, or truth.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DKP-3-POLICE-001 is to:</w:t>
      </w:r>
    </w:p>
    <w:p>
      <w:pPr>
        <w:pStyle w:val="BodyText"/>
      </w:pPr>
      <w:r>
        <w:t xml:space="preserve">formalize policing as a bounded execution layer,</w:t>
      </w:r>
    </w:p>
    <w:p>
      <w:pPr>
        <w:pStyle w:val="BodyText"/>
      </w:pPr>
      <w:r>
        <w:t xml:space="preserve">prevent discretionary or ideological policing,</w:t>
      </w:r>
    </w:p>
    <w:p>
      <w:pPr>
        <w:pStyle w:val="BodyText"/>
      </w:pPr>
      <w:r>
        <w:t xml:space="preserve">eliminate predictive, pre-emptive, or belief-based enforcement,</w:t>
      </w:r>
    </w:p>
    <w:p>
      <w:pPr>
        <w:pStyle w:val="BodyText"/>
      </w:pPr>
      <w:r>
        <w:t xml:space="preserve">ensure physical enforcement is always causally attributable,</w:t>
      </w:r>
    </w:p>
    <w:p>
      <w:pPr>
        <w:pStyle w:val="BodyText"/>
      </w:pPr>
      <w:r>
        <w:t xml:space="preserve">protect Subjects from abuse of coercive power.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DKP-3-POLICE-001 operates:</w:t>
      </w:r>
    </w:p>
    <w:p>
      <w:pPr>
        <w:pStyle w:val="BodyText"/>
      </w:pPr>
      <w:r>
        <w:t xml:space="preserve">downstream of DKP-0-ORACLE-001 (Physical Truth Layer),</w:t>
      </w:r>
    </w:p>
    <w:p>
      <w:pPr>
        <w:pStyle w:val="BodyText"/>
      </w:pPr>
      <w:r>
        <w:t xml:space="preserve">downstream of DKP-1-AXIOMS-001,</w:t>
      </w:r>
    </w:p>
    <w:p>
      <w:pPr>
        <w:pStyle w:val="BodyText"/>
      </w:pPr>
      <w:r>
        <w:t xml:space="preserve">downstream of DKP-1-IDENTITY-001,</w:t>
      </w:r>
    </w:p>
    <w:p>
      <w:pPr>
        <w:pStyle w:val="BodyText"/>
      </w:pPr>
      <w:r>
        <w:t xml:space="preserve">downstream of DKP-1-IMPACT-001,</w:t>
      </w:r>
    </w:p>
    <w:p>
      <w:pPr>
        <w:pStyle w:val="BodyText"/>
      </w:pPr>
      <w:r>
        <w:t xml:space="preserve">upstream of DKP-4-CRISIS-001 (only for escalation),</w:t>
      </w:r>
    </w:p>
    <w:p>
      <w:pPr>
        <w:pStyle w:val="BodyText"/>
      </w:pPr>
      <w:r>
        <w:t xml:space="preserve">constrained by DKP-7-SCOPE-001.</w:t>
      </w:r>
    </w:p>
    <w:p>
      <w:pPr>
        <w:pStyle w:val="BodyText"/>
      </w:pPr>
      <w:r>
        <w:t xml:space="preserve">Police actions SHALL NOT:</w:t>
      </w:r>
    </w:p>
    <w:p>
      <w:pPr>
        <w:pStyle w:val="BodyText"/>
      </w:pPr>
      <w:r>
        <w:t xml:space="preserve">create new norms,</w:t>
      </w:r>
    </w:p>
    <w:p>
      <w:pPr>
        <w:pStyle w:val="BodyText"/>
      </w:pPr>
      <w:r>
        <w:t xml:space="preserve">reinterpret axioms,</w:t>
      </w:r>
    </w:p>
    <w:p>
      <w:pPr>
        <w:pStyle w:val="BodyText"/>
      </w:pPr>
      <w:r>
        <w:t xml:space="preserve">define guilt or liability,</w:t>
      </w:r>
    </w:p>
    <w:p>
      <w:pPr>
        <w:pStyle w:val="BodyText"/>
      </w:pPr>
      <w:r>
        <w:t xml:space="preserve">operate outside PTL-confirmed conditions.</w:t>
      </w:r>
    </w:p>
    <w:p>
      <w:r>
        <w:pict>
          <v:rect style="width:0;height:1.5pt" o:hralign="center" o:hrstd="t" o:hr="t"/>
        </w:pict>
      </w:r>
    </w:p>
    <w:bookmarkEnd w:id="11"/>
    <w:bookmarkStart w:id="12" w:name="X59ca5100fb0406366879c9dec7d3c97910a2973"/>
    <w:p>
      <w:pPr>
        <w:pStyle w:val="Heading2"/>
      </w:pPr>
      <w:r>
        <w:t xml:space="preserve">3. Definition of Police Authority</w:t>
      </w:r>
    </w:p>
    <w:p>
      <w:pPr>
        <w:pStyle w:val="FirstParagraph"/>
      </w:pPr>
      <w:r>
        <w:t xml:space="preserve">Police authority is defined as temporary, localized, and execution-only.</w:t>
      </w:r>
    </w:p>
    <w:p>
      <w:pPr>
        <w:pStyle w:val="BodyText"/>
      </w:pPr>
      <w:r>
        <w:t xml:space="preserve">Police MAY:</w:t>
      </w:r>
    </w:p>
    <w:p>
      <w:pPr>
        <w:pStyle w:val="BodyText"/>
      </w:pPr>
      <w:r>
        <w:t xml:space="preserve">physically intervene to stop ongoing or imminent PTL-verified harm,</w:t>
      </w:r>
    </w:p>
    <w:p>
      <w:pPr>
        <w:pStyle w:val="BodyText"/>
      </w:pPr>
      <w:r>
        <w:t xml:space="preserve">enforce access restrictions already determined by system protocols,</w:t>
      </w:r>
    </w:p>
    <w:p>
      <w:pPr>
        <w:pStyle w:val="BodyText"/>
      </w:pPr>
      <w:r>
        <w:t xml:space="preserve">detain Subjects only under conditions defined in this protocol,</w:t>
      </w:r>
    </w:p>
    <w:p>
      <w:pPr>
        <w:pStyle w:val="BodyText"/>
      </w:pPr>
      <w:r>
        <w:t xml:space="preserve">secure physical scenes for PTL data capture.</w:t>
      </w:r>
    </w:p>
    <w:p>
      <w:pPr>
        <w:pStyle w:val="BodyText"/>
      </w:pPr>
      <w:r>
        <w:t xml:space="preserve">Police SHALL NOT:</w:t>
      </w:r>
    </w:p>
    <w:p>
      <w:pPr>
        <w:pStyle w:val="BodyText"/>
      </w:pPr>
      <w:r>
        <w:t xml:space="preserve">conduct ideological, moral, or preventive enforcement,</w:t>
      </w:r>
    </w:p>
    <w:p>
      <w:pPr>
        <w:pStyle w:val="BodyText"/>
      </w:pPr>
      <w:r>
        <w:t xml:space="preserve">act on suspicion, profiling, or predictive scoring,</w:t>
      </w:r>
    </w:p>
    <w:p>
      <w:pPr>
        <w:pStyle w:val="BodyText"/>
      </w:pPr>
      <w:r>
        <w:t xml:space="preserve">interpret intent, belief, loyalty, or motivation,</w:t>
      </w:r>
    </w:p>
    <w:p>
      <w:pPr>
        <w:pStyle w:val="BodyText"/>
      </w:pPr>
      <w:r>
        <w:t xml:space="preserve">issue binding judgments.</w:t>
      </w:r>
    </w:p>
    <w:p>
      <w:r>
        <w:pict>
          <v:rect style="width:0;height:1.5pt" o:hralign="center" o:hrstd="t" o:hr="t"/>
        </w:pict>
      </w:r>
    </w:p>
    <w:bookmarkEnd w:id="12"/>
    <w:bookmarkStart w:id="13" w:name="X831855e0be2478f64ce1c000ed422965799d4dc"/>
    <w:p>
      <w:pPr>
        <w:pStyle w:val="Heading2"/>
      </w:pPr>
      <w:r>
        <w:t xml:space="preserve">4. Trigger Conditions for Police Action</w:t>
      </w:r>
    </w:p>
    <w:p>
      <w:pPr>
        <w:pStyle w:val="FirstParagraph"/>
      </w:pPr>
      <w:r>
        <w:t xml:space="preserve">Police action is permitted only when at least one of the following holds:</w:t>
      </w:r>
    </w:p>
    <w:bookmarkEnd w:id="13"/>
    <w:bookmarkStart w:id="14" w:name="X0a12938568b343ecbb9aa30dbe16c496380fe81"/>
    <w:p>
      <w:pPr>
        <w:pStyle w:val="Heading2"/>
      </w:pPr>
      <w:r>
        <w:t xml:space="preserve">1. Active Physical Harm</w:t>
      </w:r>
    </w:p>
    <w:p>
      <w:pPr>
        <w:pStyle w:val="FirstParagraph"/>
      </w:pPr>
      <w:r>
        <w:t xml:space="preserve">Ongoing or imminent physical harm verified by PTL inputs.</w:t>
      </w:r>
    </w:p>
    <w:bookmarkEnd w:id="14"/>
    <w:bookmarkStart w:id="15" w:name="X5cd67c26062b8ce2bad8e6d112cc934b569b782"/>
    <w:p>
      <w:pPr>
        <w:pStyle w:val="Heading2"/>
      </w:pPr>
      <w:r>
        <w:t xml:space="preserve">2. System Execution Order</w:t>
      </w:r>
    </w:p>
    <w:p>
      <w:pPr>
        <w:pStyle w:val="FirstParagraph"/>
      </w:pPr>
      <w:r>
        <w:t xml:space="preserve">A valid enforcement order produced by L2 or L4 protocols.</w:t>
      </w:r>
    </w:p>
    <w:bookmarkEnd w:id="15"/>
    <w:bookmarkStart w:id="16" w:name="X56c4013412a4142fd11e1fa92312b126e9db5ec"/>
    <w:p>
      <w:pPr>
        <w:pStyle w:val="Heading2"/>
      </w:pPr>
      <w:r>
        <w:t xml:space="preserve">3. Critical Infrastructure Protection</w:t>
      </w:r>
    </w:p>
    <w:p>
      <w:pPr>
        <w:pStyle w:val="FirstParagraph"/>
      </w:pPr>
      <w:r>
        <w:t xml:space="preserve">Immediate threat to PTL infrastructure, identity continuity, or essential biospheric systems.</w:t>
      </w:r>
    </w:p>
    <w:p>
      <w:pPr>
        <w:pStyle w:val="BodyText"/>
      </w:pPr>
      <w:r>
        <w:t xml:space="preserve">Absence of PTL confirmation SHALL default to non-intervention.</w:t>
      </w:r>
    </w:p>
    <w:p>
      <w:r>
        <w:pict>
          <v:rect style="width:0;height:1.5pt" o:hralign="center" o:hrstd="t" o:hr="t"/>
        </w:pict>
      </w:r>
    </w:p>
    <w:bookmarkEnd w:id="16"/>
    <w:bookmarkStart w:id="17" w:name="Xa2d635f5f5ea58b65d43d7e5b8b02273413ad56"/>
    <w:p>
      <w:pPr>
        <w:pStyle w:val="Heading2"/>
      </w:pPr>
      <w:r>
        <w:t xml:space="preserve">5. Detention and Use of Force</w:t>
      </w:r>
    </w:p>
    <w:p>
      <w:pPr>
        <w:pStyle w:val="FirstParagraph"/>
      </w:pPr>
      <w:r>
        <w:t xml:space="preserve">5.1 Detention</w:t>
      </w:r>
    </w:p>
    <w:p>
      <w:pPr>
        <w:pStyle w:val="BodyText"/>
      </w:pPr>
      <w:r>
        <w:t xml:space="preserve">Temporary detention is permitted only to:</w:t>
      </w:r>
    </w:p>
    <w:p>
      <w:pPr>
        <w:pStyle w:val="BodyText"/>
      </w:pPr>
      <w:r>
        <w:t xml:space="preserve">stop active harm,</w:t>
      </w:r>
    </w:p>
    <w:p>
      <w:pPr>
        <w:pStyle w:val="BodyText"/>
      </w:pPr>
      <w:r>
        <w:t xml:space="preserve">prevent immediate recurrence,</w:t>
      </w:r>
    </w:p>
    <w:p>
      <w:pPr>
        <w:pStyle w:val="BodyText"/>
      </w:pPr>
      <w:r>
        <w:t xml:space="preserve">ensure identity attribution.</w:t>
      </w:r>
    </w:p>
    <w:p>
      <w:pPr>
        <w:pStyle w:val="BodyText"/>
      </w:pPr>
      <w:r>
        <w:t xml:space="preserve">Detention SHALL:</w:t>
      </w:r>
    </w:p>
    <w:p>
      <w:pPr>
        <w:pStyle w:val="BodyText"/>
      </w:pPr>
      <w:r>
        <w:t xml:space="preserve">be time-limited,</w:t>
      </w:r>
    </w:p>
    <w:p>
      <w:pPr>
        <w:pStyle w:val="BodyText"/>
      </w:pPr>
      <w:r>
        <w:t xml:space="preserve">be logged immutably,</w:t>
      </w:r>
    </w:p>
    <w:p>
      <w:pPr>
        <w:pStyle w:val="BodyText"/>
      </w:pPr>
      <w:r>
        <w:t xml:space="preserve">trigger automatic review by higher layers.</w:t>
      </w:r>
    </w:p>
    <w:p>
      <w:pPr>
        <w:pStyle w:val="BodyText"/>
      </w:pPr>
      <w:r>
        <w:t xml:space="preserve">Preventive or indefinite detention is forbidden.</w:t>
      </w:r>
    </w:p>
    <w:p>
      <w:pPr>
        <w:pStyle w:val="BodyText"/>
      </w:pPr>
      <w:r>
        <w:t xml:space="preserve">5.2 Use of Force</w:t>
      </w:r>
    </w:p>
    <w:p>
      <w:pPr>
        <w:pStyle w:val="BodyText"/>
      </w:pPr>
      <w:r>
        <w:t xml:space="preserve">Use of force is permitted only when:</w:t>
      </w:r>
    </w:p>
    <w:p>
      <w:pPr>
        <w:pStyle w:val="BodyText"/>
      </w:pPr>
      <w:r>
        <w:t xml:space="preserve">non-forceful alternatives are unavailable or ineffective,</w:t>
      </w:r>
    </w:p>
    <w:p>
      <w:pPr>
        <w:pStyle w:val="BodyText"/>
      </w:pPr>
      <w:r>
        <w:t xml:space="preserve">force is proportional to the verified physical threat,</w:t>
      </w:r>
    </w:p>
    <w:p>
      <w:pPr>
        <w:pStyle w:val="BodyText"/>
      </w:pPr>
      <w:r>
        <w:t xml:space="preserve">action minimizes irreversible harm (Axiom A4).</w:t>
      </w:r>
    </w:p>
    <w:p>
      <w:pPr>
        <w:pStyle w:val="BodyText"/>
      </w:pPr>
      <w:r>
        <w:t xml:space="preserve">Lethal force is permitted only under Axiom A1 minimum-required conditions, as defined exclusively by DKP-4-CRISIS-001.</w:t>
      </w:r>
    </w:p>
    <w:p>
      <w:r>
        <w:pict>
          <v:rect style="width:0;height:1.5pt" o:hralign="center" o:hrstd="t" o:hr="t"/>
        </w:pict>
      </w:r>
    </w:p>
    <w:bookmarkEnd w:id="17"/>
    <w:bookmarkStart w:id="18" w:name="X4b32ebe7c679c8753c033e2a8ae7fbd9143d5a3"/>
    <w:p>
      <w:pPr>
        <w:pStyle w:val="Heading2"/>
      </w:pPr>
      <w:r>
        <w:t xml:space="preserve">6. Accountability and Attribution</w:t>
      </w:r>
    </w:p>
    <w:p>
      <w:pPr>
        <w:pStyle w:val="FirstParagraph"/>
      </w:pPr>
      <w:r>
        <w:t xml:space="preserve">All police actions:</w:t>
      </w:r>
    </w:p>
    <w:p>
      <w:pPr>
        <w:pStyle w:val="BodyText"/>
      </w:pPr>
      <w:r>
        <w:t xml:space="preserve">MUST be identity-attributed under DKP-1-IDENTITY-001,</w:t>
      </w:r>
    </w:p>
    <w:p>
      <w:pPr>
        <w:pStyle w:val="BodyText"/>
      </w:pPr>
      <w:r>
        <w:t xml:space="preserve">MUST be PTL-logged,</w:t>
      </w:r>
    </w:p>
    <w:p>
      <w:pPr>
        <w:pStyle w:val="BodyText"/>
      </w:pPr>
      <w:r>
        <w:t xml:space="preserve">MUST be auditable post-facto.</w:t>
      </w:r>
    </w:p>
    <w:p>
      <w:pPr>
        <w:pStyle w:val="BodyText"/>
      </w:pPr>
      <w:r>
        <w:t xml:space="preserve">Police officers are not sovereign actors. Responsibility for any action is always traceable to:</w:t>
      </w:r>
    </w:p>
    <w:p>
      <w:pPr>
        <w:pStyle w:val="BodyText"/>
      </w:pPr>
      <w:r>
        <w:t xml:space="preserve">the executing officer,</w:t>
      </w:r>
    </w:p>
    <w:p>
      <w:pPr>
        <w:pStyle w:val="BodyText"/>
      </w:pPr>
      <w:r>
        <w:t xml:space="preserve">the issuing protocol or authority,</w:t>
      </w:r>
    </w:p>
    <w:p>
      <w:pPr>
        <w:pStyle w:val="BodyText"/>
      </w:pPr>
      <w:r>
        <w:t xml:space="preserve">the originating Subject where applicable.</w:t>
      </w:r>
    </w:p>
    <w:p>
      <w:r>
        <w:pict>
          <v:rect style="width:0;height:1.5pt" o:hralign="center" o:hrstd="t" o:hr="t"/>
        </w:pict>
      </w:r>
    </w:p>
    <w:bookmarkEnd w:id="18"/>
    <w:bookmarkStart w:id="19" w:name="Xd6f8a926b54c43711e8747e158a62517b08c626"/>
    <w:p>
      <w:pPr>
        <w:pStyle w:val="Heading2"/>
      </w:pPr>
      <w:r>
        <w:t xml:space="preserve">7. Prohibited Policing Functions</w:t>
      </w:r>
    </w:p>
    <w:p>
      <w:pPr>
        <w:pStyle w:val="FirstParagraph"/>
      </w:pPr>
      <w:r>
        <w:t xml:space="preserve">The following are explicitly forbidden:</w:t>
      </w:r>
    </w:p>
    <w:p>
      <w:pPr>
        <w:pStyle w:val="BodyText"/>
      </w:pPr>
      <w:r>
        <w:t xml:space="preserve">predictive policing,</w:t>
      </w:r>
    </w:p>
    <w:p>
      <w:pPr>
        <w:pStyle w:val="BodyText"/>
      </w:pPr>
      <w:r>
        <w:t xml:space="preserve">profiling based on ideology, religion, culture, or belief,</w:t>
      </w:r>
    </w:p>
    <w:p>
      <w:pPr>
        <w:pStyle w:val="BodyText"/>
      </w:pPr>
      <w:r>
        <w:t xml:space="preserve">enforcement of morality or social norms,</w:t>
      </w:r>
    </w:p>
    <w:p>
      <w:pPr>
        <w:pStyle w:val="BodyText"/>
      </w:pPr>
      <w:r>
        <w:t xml:space="preserve">surveillance not anchored in PTL necessity,</w:t>
      </w:r>
    </w:p>
    <w:p>
      <w:pPr>
        <w:pStyle w:val="BodyText"/>
      </w:pPr>
      <w:r>
        <w:t xml:space="preserve">discretionary expansion of authority.</w:t>
      </w:r>
    </w:p>
    <w:p>
      <w:pPr>
        <w:pStyle w:val="BodyText"/>
      </w:pPr>
      <w:r>
        <w:t xml:space="preserve">Violation constitutes a critical integrity breach.</w:t>
      </w:r>
    </w:p>
    <w:p>
      <w:r>
        <w:pict>
          <v:rect style="width:0;height:1.5pt" o:hralign="center" o:hrstd="t" o:hr="t"/>
        </w:pict>
      </w:r>
    </w:p>
    <w:bookmarkEnd w:id="19"/>
    <w:bookmarkStart w:id="20" w:name="X2c586b0227d0fab3278796b8f226e020c2406e7"/>
    <w:p>
      <w:pPr>
        <w:pStyle w:val="Heading2"/>
      </w:pPr>
      <w:r>
        <w:t xml:space="preserve">8. Crisis Interaction</w:t>
      </w:r>
    </w:p>
    <w:p>
      <w:pPr>
        <w:pStyle w:val="FirstParagraph"/>
      </w:pPr>
      <w:r>
        <w:t xml:space="preserve">During a formally declared Crisis under DKP-4-CRISIS-001:</w:t>
      </w:r>
    </w:p>
    <w:p>
      <w:pPr>
        <w:pStyle w:val="BodyText"/>
      </w:pPr>
      <w:r>
        <w:t xml:space="preserve">police authority MAY be temporarily extended,</w:t>
      </w:r>
    </w:p>
    <w:p>
      <w:pPr>
        <w:pStyle w:val="BodyText"/>
      </w:pPr>
      <w:r>
        <w:t xml:space="preserve">such extension MUST be explicitly scoped,</w:t>
      </w:r>
    </w:p>
    <w:p>
      <w:pPr>
        <w:pStyle w:val="BodyText"/>
      </w:pPr>
      <w:r>
        <w:t xml:space="preserve">no crisis action creates precedent.</w:t>
      </w:r>
    </w:p>
    <w:p>
      <w:pPr>
        <w:pStyle w:val="BodyText"/>
      </w:pPr>
      <w:r>
        <w:t xml:space="preserve">All crisis policing actions remain constrained by DKP-7-SCOPE-001.</w:t>
      </w:r>
    </w:p>
    <w:p>
      <w:r>
        <w:pict>
          <v:rect style="width:0;height:1.5pt" o:hralign="center" o:hrstd="t" o:hr="t"/>
        </w:pict>
      </w:r>
    </w:p>
    <w:bookmarkEnd w:id="20"/>
    <w:bookmarkStart w:id="21" w:name="X35002c2d6db304e7f982f31e2172356c90671ed"/>
    <w:p>
      <w:pPr>
        <w:pStyle w:val="Heading2"/>
      </w:pPr>
      <w:r>
        <w:t xml:space="preserve">9. Transparency and Review</w:t>
      </w:r>
    </w:p>
    <w:p>
      <w:pPr>
        <w:pStyle w:val="FirstParagraph"/>
      </w:pPr>
      <w:r>
        <w:t xml:space="preserve">All policing statistics:</w:t>
      </w:r>
    </w:p>
    <w:p>
      <w:pPr>
        <w:pStyle w:val="BodyText"/>
      </w:pPr>
      <w:r>
        <w:t xml:space="preserve">SHALL be publicly auditable in aggregated form,</w:t>
      </w:r>
    </w:p>
    <w:p>
      <w:pPr>
        <w:pStyle w:val="BodyText"/>
      </w:pPr>
      <w:r>
        <w:t xml:space="preserve">SHALL preserve individual privacy,</w:t>
      </w:r>
    </w:p>
    <w:p>
      <w:pPr>
        <w:pStyle w:val="BodyText"/>
      </w:pPr>
      <w:r>
        <w:t xml:space="preserve">SHALL support post-incident causal reconstruction.</w:t>
      </w:r>
    </w:p>
    <w:p>
      <w:pPr>
        <w:pStyle w:val="BodyText"/>
      </w:pPr>
      <w:r>
        <w:t xml:space="preserve">No secret policing authority is permitted.</w:t>
      </w:r>
    </w:p>
    <w:p>
      <w:r>
        <w:pict>
          <v:rect style="width:0;height:1.5pt" o:hralign="center" o:hrstd="t" o:hr="t"/>
        </w:pict>
      </w:r>
    </w:p>
    <w:bookmarkEnd w:id="21"/>
    <w:bookmarkStart w:id="22" w:name="Xbee45298a3a251fe9c1ad59b9586ed3b69f198c"/>
    <w:p>
      <w:pPr>
        <w:pStyle w:val="Heading2"/>
      </w:pPr>
      <w:r>
        <w:t xml:space="preserve">10. Scope Limitations</w:t>
      </w:r>
    </w:p>
    <w:p>
      <w:pPr>
        <w:pStyle w:val="FirstParagraph"/>
      </w:pPr>
      <w:r>
        <w:t xml:space="preserve">DKP-3-POLICE-001 SHALL NOT:</w:t>
      </w:r>
    </w:p>
    <w:p>
      <w:pPr>
        <w:pStyle w:val="BodyText"/>
      </w:pPr>
      <w:r>
        <w:t xml:space="preserve">regulate belief, speech, or culture,</w:t>
      </w:r>
    </w:p>
    <w:p>
      <w:pPr>
        <w:pStyle w:val="BodyText"/>
      </w:pPr>
      <w:r>
        <w:t xml:space="preserve">substitute judicial or justice protocols,</w:t>
      </w:r>
    </w:p>
    <w:p>
      <w:pPr>
        <w:pStyle w:val="BodyText"/>
      </w:pPr>
      <w:r>
        <w:t xml:space="preserve">define long-term punishment or rehabilitation,</w:t>
      </w:r>
    </w:p>
    <w:p>
      <w:pPr>
        <w:pStyle w:val="BodyText"/>
      </w:pPr>
      <w:r>
        <w:t xml:space="preserve">override exit rights or identity continuity.</w:t>
      </w:r>
    </w:p>
    <w:p>
      <w:r>
        <w:pict>
          <v:rect style="width:0;height:1.5pt" o:hralign="center" o:hrstd="t" o:hr="t"/>
        </w:pict>
      </w:r>
    </w:p>
    <w:bookmarkEnd w:id="22"/>
    <w:bookmarkStart w:id="23" w:name="Xbbc359184533a729aa8069f44db349a2e70df37"/>
    <w:p>
      <w:pPr>
        <w:pStyle w:val="Heading2"/>
      </w:pPr>
      <w:r>
        <w:t xml:space="preserve">11.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BodyText"/>
      </w:pPr>
      <w:r>
        <w:t xml:space="preserve">any modification requires a new protocol identifier,</w:t>
      </w:r>
    </w:p>
    <w:p>
      <w:pPr>
        <w:pStyle w:val="BodyText"/>
      </w:pPr>
      <w:r>
        <w:t xml:space="preserve">mandatory simulation under DKP-8-SIMULATION-001,</w:t>
      </w:r>
    </w:p>
    <w:p>
      <w:pPr>
        <w:pStyle w:val="BodyText"/>
      </w:pPr>
      <w:r>
        <w:t xml:space="preserve">explicit compatibility declaration with DKP-1-AXIOMS-001 and DKP-7-SCOPE-001.</w:t>
      </w:r>
    </w:p>
    <w:p>
      <w:pPr>
        <w:pStyle w:val="BodyText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END OF PROTOCOL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2026-10-04T10:23:48Z</dcterms:created>
  <dcterms:modified xsi:type="dcterms:W3CDTF">2026-10-04T10:23:48Z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