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kp-5-habitat-001"/>
    <w:p>
      <w:pPr>
        <w:pStyle w:val="Heading1"/>
      </w:pPr>
      <w:r>
        <w:t xml:space="preserve">DKP-5-HABITAT-001</w:t>
      </w:r>
    </w:p>
    <w:p>
      <w:pPr>
        <w:pStyle w:val="FirstParagraph"/>
      </w:pPr>
      <w:r>
        <w:rPr>
          <w:i/>
          <w:iCs/>
        </w:rPr>
        <w:t xml:space="preserve">Last updated: 2026-10-04</w:t>
      </w:r>
    </w:p>
    <w:p>
      <w:pPr>
        <w:pStyle w:val="BodyText"/>
      </w:pPr>
      <w:r>
        <w:t xml:space="preserve">Living Space &amp; Environmental Dignity Protocol</w:t>
      </w:r>
    </w:p>
    <w:p>
      <w:r>
        <w:pict>
          <v:rect style="width:0;height:1.5pt" o:hralign="center" o:hrstd="t" o:hr="t"/>
        </w:pict>
      </w:r>
    </w:p>
    <w:bookmarkStart w:id="9" w:name="X7a23a5f07c5edab015cfb0f255e1ff30e4ba5c5"/>
    <w:p>
      <w:pPr>
        <w:pStyle w:val="Heading2"/>
      </w:pPr>
      <w:r>
        <w:t xml:space="preserve">0. Preamble</w:t>
      </w:r>
    </w:p>
    <w:p>
      <w:pPr>
        <w:pStyle w:val="FirstParagraph"/>
      </w:pPr>
      <w:r>
        <w:t xml:space="preserve">DKP-5-HABITAT-001 defines the minimum physical standards of living space and environmental conditions under which Subjects exist within Dikenocracy.</w:t>
      </w:r>
    </w:p>
    <w:p>
      <w:pPr>
        <w:pStyle w:val="BodyText"/>
      </w:pPr>
      <w:r>
        <w:t xml:space="preserve">This protocol treats habitat not as comfort, preference, or aesthetics, but as a matter of physical dignity.</w:t>
      </w:r>
    </w:p>
    <w:p>
      <w:pPr>
        <w:pStyle w:val="BodyText"/>
      </w:pPr>
      <w:r>
        <w:t xml:space="preserve">Where DKP-5-TRANSPORT-001 protects dignity in motion, DKP-5-HABITAT-001 protects dignity in statics — the spatial and environmental conditions of everyday life.</w:t>
      </w:r>
    </w:p>
    <w:p>
      <w:pPr>
        <w:pStyle w:val="BodyText"/>
      </w:pPr>
      <w:r>
        <w:t xml:space="preserve">This protocol exists to prevent:</w:t>
      </w:r>
    </w:p>
    <w:p>
      <w:pPr>
        <w:pStyle w:val="BodyText"/>
      </w:pPr>
      <w:r>
        <w:t xml:space="preserve">physical degradation of living environments,</w:t>
      </w:r>
    </w:p>
    <w:p>
      <w:pPr>
        <w:pStyle w:val="BodyText"/>
      </w:pPr>
      <w:r>
        <w:t xml:space="preserve">ghettoization through density and isolation,</w:t>
      </w:r>
    </w:p>
    <w:p>
      <w:pPr>
        <w:pStyle w:val="BodyText"/>
      </w:pPr>
      <w:r>
        <w:t xml:space="preserve">biophysical stress as an invisible form of coercion,</w:t>
      </w:r>
    </w:p>
    <w:p>
      <w:pPr>
        <w:pStyle w:val="BodyText"/>
      </w:pPr>
      <w:r>
        <w:t xml:space="preserve">erosion of human agency through hostile spatial design.</w:t>
      </w:r>
    </w:p>
    <w:p>
      <w:r>
        <w:pict>
          <v:rect style="width:0;height:1.5pt" o:hralign="center" o:hrstd="t" o:hr="t"/>
        </w:pict>
      </w:r>
    </w:p>
    <w:bookmarkEnd w:id="9"/>
    <w:bookmarkStart w:id="1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purpose of DKP-5-HABITAT-001 is to:</w:t>
      </w:r>
    </w:p>
    <w:p>
      <w:pPr>
        <w:pStyle w:val="BodyText"/>
      </w:pPr>
      <w:r>
        <w:t xml:space="preserve">define a non-negotiable baseline of spatial dignity,</w:t>
      </w:r>
    </w:p>
    <w:p>
      <w:pPr>
        <w:pStyle w:val="BodyText"/>
      </w:pPr>
      <w:r>
        <w:t xml:space="preserve">limit destructive population density and enclosure,</w:t>
      </w:r>
    </w:p>
    <w:p>
      <w:pPr>
        <w:pStyle w:val="BodyText"/>
      </w:pPr>
      <w:r>
        <w:t xml:space="preserve">guarantee access to basic biospheric resources,</w:t>
      </w:r>
    </w:p>
    <w:p>
      <w:pPr>
        <w:pStyle w:val="BodyText"/>
      </w:pPr>
      <w:r>
        <w:t xml:space="preserve">prevent long-term environmental harm to Subjects,</w:t>
      </w:r>
    </w:p>
    <w:p>
      <w:pPr>
        <w:pStyle w:val="BodyText"/>
      </w:pPr>
      <w:r>
        <w:t xml:space="preserve">anchor habitat evaluation strictly in the Physical Truth Layer (PTL).</w:t>
      </w:r>
    </w:p>
    <w:p>
      <w:pPr>
        <w:pStyle w:val="BodyText"/>
      </w:pPr>
      <w:r>
        <w:t xml:space="preserve">This protocol does not optimize urban form. It establishes hard lower bounds below which habitat conditions are unacceptable.</w:t>
      </w:r>
    </w:p>
    <w:p>
      <w:r>
        <w:pict>
          <v:rect style="width:0;height:1.5pt" o:hralign="center" o:hrstd="t" o:hr="t"/>
        </w:pict>
      </w:r>
    </w:p>
    <w:bookmarkEnd w:id="10"/>
    <w:bookmarkStart w:id="11" w:name="Xa3317ba21fa978274b1e9d4e4eff2aa3d4f65fa"/>
    <w:p>
      <w:pPr>
        <w:pStyle w:val="Heading2"/>
      </w:pPr>
      <w:r>
        <w:t xml:space="preserve">2. System Position</w:t>
      </w:r>
    </w:p>
    <w:p>
      <w:pPr>
        <w:pStyle w:val="FirstParagraph"/>
      </w:pPr>
      <w:r>
        <w:t xml:space="preserve">DKP-5-HABITAT-001 operates:</w:t>
      </w:r>
    </w:p>
    <w:p>
      <w:pPr>
        <w:pStyle w:val="BodyText"/>
      </w:pPr>
      <w:r>
        <w:t xml:space="preserve">Downstream of:</w:t>
      </w:r>
    </w:p>
    <w:p>
      <w:pPr>
        <w:pStyle w:val="BodyText"/>
      </w:pPr>
      <w:r>
        <w:t xml:space="preserve">DKP-0-ORACLE-001 (Physical Truth Layer),</w:t>
      </w:r>
    </w:p>
    <w:p>
      <w:pPr>
        <w:pStyle w:val="BodyText"/>
      </w:pPr>
      <w:r>
        <w:t xml:space="preserve">DKP-0-TIME-001,</w:t>
      </w:r>
    </w:p>
    <w:p>
      <w:pPr>
        <w:pStyle w:val="BodyText"/>
      </w:pPr>
      <w:r>
        <w:t xml:space="preserve">DKP-1-AXIOMS-001,</w:t>
      </w:r>
    </w:p>
    <w:p>
      <w:pPr>
        <w:pStyle w:val="BodyText"/>
      </w:pPr>
      <w:r>
        <w:t xml:space="preserve">DKP-2-FINANCE-001 (funding pathways only).</w:t>
      </w:r>
    </w:p>
    <w:p>
      <w:pPr>
        <w:pStyle w:val="BodyText"/>
      </w:pPr>
      <w:r>
        <w:t xml:space="preserve">Upstream of:</w:t>
      </w:r>
    </w:p>
    <w:p>
      <w:pPr>
        <w:pStyle w:val="BodyText"/>
      </w:pPr>
      <w:r>
        <w:t xml:space="preserve">DKP-5-INFO-001,</w:t>
      </w:r>
    </w:p>
    <w:p>
      <w:pPr>
        <w:pStyle w:val="BodyText"/>
      </w:pPr>
      <w:r>
        <w:t xml:space="preserve">DKP-5-EDU-001,</w:t>
      </w:r>
    </w:p>
    <w:p>
      <w:pPr>
        <w:pStyle w:val="BodyText"/>
      </w:pPr>
      <w:r>
        <w:t xml:space="preserve">DKP-5-CULTURE-001.</w:t>
      </w:r>
    </w:p>
    <w:p>
      <w:pPr>
        <w:pStyle w:val="BodyText"/>
      </w:pPr>
      <w:r>
        <w:t xml:space="preserve">Constrained by:</w:t>
      </w:r>
    </w:p>
    <w:p>
      <w:pPr>
        <w:pStyle w:val="BodyText"/>
      </w:pPr>
      <w:r>
        <w:t xml:space="preserve">DKP-7-SCOPE-001,</w:t>
      </w:r>
    </w:p>
    <w:p>
      <w:pPr>
        <w:pStyle w:val="BodyText"/>
      </w:pPr>
      <w:r>
        <w:t xml:space="preserve">DKP-8-SIMULATION-001.</w:t>
      </w:r>
    </w:p>
    <w:p>
      <w:pPr>
        <w:pStyle w:val="BodyText"/>
      </w:pPr>
      <w:r>
        <w:t xml:space="preserve">This protocol SHALL NOT:</w:t>
      </w:r>
    </w:p>
    <w:p>
      <w:pPr>
        <w:pStyle w:val="BodyText"/>
      </w:pPr>
      <w:r>
        <w:t xml:space="preserve">define architectural styles,</w:t>
      </w:r>
    </w:p>
    <w:p>
      <w:pPr>
        <w:pStyle w:val="BodyText"/>
      </w:pPr>
      <w:r>
        <w:t xml:space="preserve">impose cultural or aesthetic norms,</w:t>
      </w:r>
    </w:p>
    <w:p>
      <w:pPr>
        <w:pStyle w:val="BodyText"/>
      </w:pPr>
      <w:r>
        <w:t xml:space="preserve">override local climatic or cultural adaptations,</w:t>
      </w:r>
    </w:p>
    <w:p>
      <w:pPr>
        <w:pStyle w:val="BodyText"/>
      </w:pPr>
      <w:r>
        <w:t xml:space="preserve">activate enforcement without valid L8 calibration.</w:t>
      </w:r>
    </w:p>
    <w:p>
      <w:r>
        <w:pict>
          <v:rect style="width:0;height:1.5pt" o:hralign="center" o:hrstd="t" o:hr="t"/>
        </w:pict>
      </w:r>
    </w:p>
    <w:bookmarkEnd w:id="11"/>
    <w:bookmarkStart w:id="12" w:name="X827e3c612a19f15795b613412f35095dbdac148"/>
    <w:p>
      <w:pPr>
        <w:pStyle w:val="Heading2"/>
      </w:pPr>
      <w:r>
        <w:t xml:space="preserve">3. Definitions</w:t>
      </w:r>
    </w:p>
    <w:p>
      <w:pPr>
        <w:pStyle w:val="FirstParagraph"/>
      </w:pPr>
      <w:r>
        <w:t xml:space="preserve">Habitat The physical environment in which a Subject resides for a sustained duration, including living space, immediate surroundings, and access paths to essential resources.</w:t>
      </w:r>
    </w:p>
    <w:p>
      <w:pPr>
        <w:pStyle w:val="BodyText"/>
      </w:pPr>
      <w:r>
        <w:t xml:space="preserve">Living Space An enclosed or semi-enclosed area intended for rest, shelter, and daily life.</w:t>
      </w:r>
    </w:p>
    <w:p>
      <w:pPr>
        <w:pStyle w:val="BodyText"/>
      </w:pPr>
      <w:r>
        <w:t xml:space="preserve">Environmental Dignity A state in which physical conditions do not impose chronic physiological stress beyond adaptive human capacity.</w:t>
      </w:r>
    </w:p>
    <w:p>
      <w:pPr>
        <w:pStyle w:val="BodyText"/>
      </w:pPr>
      <w:r>
        <w:t xml:space="preserve">SPDI (Spatial Physical Dignity Index) A composite, PTL-anchored physical index describing the adequacy of habitat conditions.</w:t>
      </w:r>
    </w:p>
    <w:p>
      <w:r>
        <w:pict>
          <v:rect style="width:0;height:1.5pt" o:hralign="center" o:hrstd="t" o:hr="t"/>
        </w:pict>
      </w:r>
    </w:p>
    <w:bookmarkEnd w:id="12"/>
    <w:bookmarkStart w:id="13" w:name="X4e61b2c60a80525983f89b4ceadaaca6741434d"/>
    <w:p>
      <w:pPr>
        <w:pStyle w:val="Heading2"/>
      </w:pPr>
      <w:r>
        <w:t xml:space="preserve">4. SPDI — Spatial Physical Dignity Index</w:t>
      </w:r>
    </w:p>
    <w:p>
      <w:pPr>
        <w:pStyle w:val="FirstParagraph"/>
      </w:pPr>
      <w:r>
        <w:t xml:space="preserve">SPDI is a normalized index in the range [0,1].</w:t>
      </w:r>
    </w:p>
    <w:p>
      <w:pPr>
        <w:pStyle w:val="BodyText"/>
      </w:pPr>
      <w:r>
        <w:t xml:space="preserve">SPDI is derived exclusively from PTL-verified physical measurements, including but not limited to:</w:t>
      </w:r>
    </w:p>
    <w:p>
      <w:pPr>
        <w:pStyle w:val="BodyText"/>
      </w:pPr>
      <w:r>
        <w:t xml:space="preserve">effective living space per Subject,</w:t>
      </w:r>
    </w:p>
    <w:p>
      <w:pPr>
        <w:pStyle w:val="BodyText"/>
      </w:pPr>
      <w:r>
        <w:t xml:space="preserve">chronic ambient noise exposure,</w:t>
      </w:r>
    </w:p>
    <w:p>
      <w:pPr>
        <w:pStyle w:val="BodyText"/>
      </w:pPr>
      <w:r>
        <w:t xml:space="preserve">access to natural light or circadian-supporting illumination,</w:t>
      </w:r>
    </w:p>
    <w:p>
      <w:pPr>
        <w:pStyle w:val="BodyText"/>
      </w:pPr>
      <w:r>
        <w:t xml:space="preserve">air quality and ventilation adequacy,</w:t>
      </w:r>
    </w:p>
    <w:p>
      <w:pPr>
        <w:pStyle w:val="BodyText"/>
      </w:pPr>
      <w:r>
        <w:t xml:space="preserve">thermal stability within survivable bounds,</w:t>
      </w:r>
    </w:p>
    <w:p>
      <w:pPr>
        <w:pStyle w:val="BodyText"/>
      </w:pPr>
      <w:r>
        <w:t xml:space="preserve">access to clean water,</w:t>
      </w:r>
    </w:p>
    <w:p>
      <w:pPr>
        <w:pStyle w:val="BodyText"/>
      </w:pPr>
      <w:r>
        <w:t xml:space="preserve">access to green or open space within a defined radius.</w:t>
      </w:r>
    </w:p>
    <w:p>
      <w:pPr>
        <w:pStyle w:val="BodyText"/>
      </w:pPr>
      <w:r>
        <w:t xml:space="preserve">SPDI SHALL NOT incorporate:</w:t>
      </w:r>
    </w:p>
    <w:p>
      <w:pPr>
        <w:pStyle w:val="BodyText"/>
      </w:pPr>
      <w:r>
        <w:t xml:space="preserve">subjective preference,</w:t>
      </w:r>
    </w:p>
    <w:p>
      <w:pPr>
        <w:pStyle w:val="BodyText"/>
      </w:pPr>
      <w:r>
        <w:t xml:space="preserve">market value,</w:t>
      </w:r>
    </w:p>
    <w:p>
      <w:pPr>
        <w:pStyle w:val="BodyText"/>
      </w:pPr>
      <w:r>
        <w:t xml:space="preserve">social or economic status indicators,</w:t>
      </w:r>
    </w:p>
    <w:p>
      <w:pPr>
        <w:pStyle w:val="BodyText"/>
      </w:pPr>
      <w:r>
        <w:t xml:space="preserve">cultural or aesthetic metrics.</w:t>
      </w:r>
    </w:p>
    <w:p>
      <w:pPr>
        <w:pStyle w:val="BodyText"/>
      </w:pPr>
      <w:r>
        <w:t xml:space="preserve">SPDI is a descriptive index, not a policy judgment.</w:t>
      </w:r>
    </w:p>
    <w:p>
      <w:r>
        <w:pict>
          <v:rect style="width:0;height:1.5pt" o:hralign="center" o:hrstd="t" o:hr="t"/>
        </w:pict>
      </w:r>
    </w:p>
    <w:bookmarkEnd w:id="13"/>
    <w:bookmarkStart w:id="14" w:name="Xa7d7bf861b421e4f078949c27d51fdf74c4803e"/>
    <w:p>
      <w:pPr>
        <w:pStyle w:val="Heading2"/>
      </w:pPr>
      <w:r>
        <w:t xml:space="preserve">5. Minimum Habitat Thresholds</w:t>
      </w:r>
    </w:p>
    <w:p>
      <w:pPr>
        <w:pStyle w:val="FirstParagraph"/>
      </w:pPr>
      <w:r>
        <w:t xml:space="preserve">A habitat is considered admissible only if all of the following hold:</w:t>
      </w:r>
    </w:p>
    <w:p>
      <w:pPr>
        <w:pStyle w:val="BodyText"/>
      </w:pPr>
      <w:r>
        <w:t xml:space="preserve">SPDI ≥ SPDI_min,</w:t>
      </w:r>
    </w:p>
    <w:p>
      <w:pPr>
        <w:pStyle w:val="BodyText"/>
      </w:pPr>
      <w:r>
        <w:t xml:space="preserve">no individual SPDI component falls below its critical survivability threshold,</w:t>
      </w:r>
    </w:p>
    <w:p>
      <w:pPr>
        <w:pStyle w:val="BodyText"/>
      </w:pPr>
      <w:r>
        <w:t xml:space="preserve">chronic exposure parameters remain within PTL-confirmed safe limits.</w:t>
      </w:r>
    </w:p>
    <w:p>
      <w:pPr>
        <w:pStyle w:val="BodyText"/>
      </w:pPr>
      <w:r>
        <w:t xml:space="preserve">Threshold Governance</w:t>
      </w:r>
    </w:p>
    <w:p>
      <w:pPr>
        <w:pStyle w:val="BodyText"/>
      </w:pPr>
      <w:r>
        <w:t xml:space="preserve">SPDI_min and all component thresholds:</w:t>
      </w:r>
    </w:p>
    <w:p>
      <w:pPr>
        <w:pStyle w:val="BodyText"/>
      </w:pPr>
      <w:r>
        <w:t xml:space="preserve">SHALL NOT be defined numerically within this protocol,</w:t>
      </w:r>
    </w:p>
    <w:p>
      <w:pPr>
        <w:pStyle w:val="BodyText"/>
      </w:pPr>
      <w:r>
        <w:t xml:space="preserve">SHALL be specified, calibrated, and validated exclusively under DKP-8-SIMULATION-001,</w:t>
      </w:r>
    </w:p>
    <w:p>
      <w:pPr>
        <w:pStyle w:val="BodyText"/>
      </w:pPr>
      <w:r>
        <w:t xml:space="preserve">SHALL be derived from biophysical research and PTL-confirmed survivability bounds,</w:t>
      </w:r>
    </w:p>
    <w:p>
      <w:pPr>
        <w:pStyle w:val="BodyText"/>
      </w:pPr>
      <w:r>
        <w:t xml:space="preserve">SHALL NOT be lowered, overridden, or parameterized by economic, operational, or governance protocols.</w:t>
      </w:r>
    </w:p>
    <w:p>
      <w:r>
        <w:pict>
          <v:rect style="width:0;height:1.5pt" o:hralign="center" o:hrstd="t" o:hr="t"/>
        </w:pict>
      </w:r>
    </w:p>
    <w:bookmarkEnd w:id="14"/>
    <w:bookmarkStart w:id="15" w:name="X556a8e1fd782fc3437d1d97cef836e8dd5c30a3"/>
    <w:p>
      <w:pPr>
        <w:pStyle w:val="Heading2"/>
      </w:pPr>
      <w:r>
        <w:t xml:space="preserve">6. Activation Gate (Mandatory)</w:t>
      </w:r>
    </w:p>
    <w:p>
      <w:pPr>
        <w:pStyle w:val="FirstParagraph"/>
      </w:pPr>
      <w:r>
        <w:t xml:space="preserve">DKP-5-HABITAT-001 is NON-ENFORCEABLE unless all of the following exist:</w:t>
      </w:r>
    </w:p>
    <w:p>
      <w:pPr>
        <w:pStyle w:val="BodyText"/>
      </w:pPr>
      <w:r>
        <w:t xml:space="preserve">a valid L8 Calibration Bundle explicitly covering SPDI,</w:t>
      </w:r>
    </w:p>
    <w:p>
      <w:pPr>
        <w:pStyle w:val="BodyText"/>
      </w:pPr>
      <w:r>
        <w:t xml:space="preserve">declared thresholds and confidence bounds,</w:t>
      </w:r>
    </w:p>
    <w:p>
      <w:pPr>
        <w:pStyle w:val="BodyText"/>
      </w:pPr>
      <w:r>
        <w:t xml:space="preserve">a defined validity window,</w:t>
      </w:r>
    </w:p>
    <w:p>
      <w:pPr>
        <w:pStyle w:val="BodyText"/>
      </w:pPr>
      <w:r>
        <w:t xml:space="preserve">an active linkage to DKP-8-AUDIT-001.</w:t>
      </w:r>
    </w:p>
    <w:p>
      <w:pPr>
        <w:pStyle w:val="BodyText"/>
      </w:pPr>
      <w:r>
        <w:t xml:space="preserve">Absent a valid L8 bundle:</w:t>
      </w:r>
    </w:p>
    <w:p>
      <w:pPr>
        <w:pStyle w:val="BodyText"/>
      </w:pPr>
      <w:r>
        <w:t xml:space="preserve">SPDI outputs are informational only,</w:t>
      </w:r>
    </w:p>
    <w:p>
      <w:pPr>
        <w:pStyle w:val="BodyText"/>
      </w:pPr>
      <w:r>
        <w:t xml:space="preserve">no enforcement, restriction, or remediation may be triggered.</w:t>
      </w:r>
    </w:p>
    <w:p>
      <w:pPr>
        <w:pStyle w:val="BodyText"/>
      </w:pPr>
      <w:r>
        <w:t xml:space="preserve">Manual interpretation of SPDI values is explicitly prohibited.</w:t>
      </w:r>
    </w:p>
    <w:p>
      <w:r>
        <w:pict>
          <v:rect style="width:0;height:1.5pt" o:hralign="center" o:hrstd="t" o:hr="t"/>
        </w:pict>
      </w:r>
    </w:p>
    <w:bookmarkEnd w:id="15"/>
    <w:bookmarkStart w:id="16" w:name="X02383c639f99cd1edb311176fb8b2869eb8859c"/>
    <w:p>
      <w:pPr>
        <w:pStyle w:val="Heading2"/>
      </w:pPr>
      <w:r>
        <w:t xml:space="preserve">7. Density and Enclosure Constraints</w:t>
      </w:r>
    </w:p>
    <w:p>
      <w:pPr>
        <w:pStyle w:val="FirstParagraph"/>
      </w:pPr>
      <w:r>
        <w:t xml:space="preserve">Habitat design and allocation SHALL NOT:</w:t>
      </w:r>
    </w:p>
    <w:p>
      <w:pPr>
        <w:pStyle w:val="BodyText"/>
      </w:pPr>
      <w:r>
        <w:t xml:space="preserve">exceed population density levels known to induce chronic biophysical stress,</w:t>
      </w:r>
    </w:p>
    <w:p>
      <w:pPr>
        <w:pStyle w:val="BodyText"/>
      </w:pPr>
      <w:r>
        <w:t xml:space="preserve">create permanent enclosure without access to open environments,</w:t>
      </w:r>
    </w:p>
    <w:p>
      <w:pPr>
        <w:pStyle w:val="BodyText"/>
      </w:pPr>
      <w:r>
        <w:t xml:space="preserve">rely on vertical compression as the primary solution to scarcity,</w:t>
      </w:r>
    </w:p>
    <w:p>
      <w:pPr>
        <w:pStyle w:val="BodyText"/>
      </w:pPr>
      <w:r>
        <w:t xml:space="preserve">isolate populations from biospheric interaction.</w:t>
      </w:r>
    </w:p>
    <w:p>
      <w:pPr>
        <w:pStyle w:val="BodyText"/>
      </w:pPr>
      <w:r>
        <w:t xml:space="preserve">Density and enclosure are evaluated indirectly via SPDI components, not via fixed architectural prescriptions.</w:t>
      </w:r>
    </w:p>
    <w:p>
      <w:r>
        <w:pict>
          <v:rect style="width:0;height:1.5pt" o:hralign="center" o:hrstd="t" o:hr="t"/>
        </w:pict>
      </w:r>
    </w:p>
    <w:bookmarkEnd w:id="16"/>
    <w:bookmarkStart w:id="17" w:name="Xf3d684267a82942b151162d6223f26b6097a771"/>
    <w:p>
      <w:pPr>
        <w:pStyle w:val="Heading2"/>
      </w:pPr>
      <w:r>
        <w:t xml:space="preserve">8. Prohibited Conditions</w:t>
      </w:r>
    </w:p>
    <w:p>
      <w:pPr>
        <w:pStyle w:val="FirstParagraph"/>
      </w:pPr>
      <w:r>
        <w:t xml:space="preserve">The following constitute habitat violations:</w:t>
      </w:r>
    </w:p>
    <w:p>
      <w:pPr>
        <w:pStyle w:val="BodyText"/>
      </w:pPr>
      <w:r>
        <w:t xml:space="preserve">persistent SPDI below minimum threshold,</w:t>
      </w:r>
    </w:p>
    <w:p>
      <w:pPr>
        <w:pStyle w:val="BodyText"/>
      </w:pPr>
      <w:r>
        <w:t xml:space="preserve">deliberate creation of high-density containment zones,</w:t>
      </w:r>
    </w:p>
    <w:p>
      <w:pPr>
        <w:pStyle w:val="BodyText"/>
      </w:pPr>
      <w:r>
        <w:t xml:space="preserve">denial of access to basic biospheric resources,</w:t>
      </w:r>
    </w:p>
    <w:p>
      <w:pPr>
        <w:pStyle w:val="BodyText"/>
      </w:pPr>
      <w:r>
        <w:t xml:space="preserve">environmental degradation used as an economic or political lever,</w:t>
      </w:r>
    </w:p>
    <w:p>
      <w:pPr>
        <w:pStyle w:val="BodyText"/>
      </w:pPr>
      <w:r>
        <w:t xml:space="preserve">spatial configurations designed to suppress autonomy or mobility.</w:t>
      </w:r>
    </w:p>
    <w:p>
      <w:pPr>
        <w:pStyle w:val="BodyText"/>
      </w:pPr>
      <w:r>
        <w:t xml:space="preserve">Such conditions trigger mandatory remediation pathways.</w:t>
      </w:r>
    </w:p>
    <w:p>
      <w:r>
        <w:pict>
          <v:rect style="width:0;height:1.5pt" o:hralign="center" o:hrstd="t" o:hr="t"/>
        </w:pict>
      </w:r>
    </w:p>
    <w:bookmarkEnd w:id="17"/>
    <w:bookmarkStart w:id="18" w:name="Xe0c06ee27b7c99075718caf9125b384ff284a00"/>
    <w:p>
      <w:pPr>
        <w:pStyle w:val="Heading2"/>
      </w:pPr>
      <w:r>
        <w:t xml:space="preserve">9. PTL Anchoring and Verification</w:t>
      </w:r>
    </w:p>
    <w:p>
      <w:pPr>
        <w:pStyle w:val="FirstParagraph"/>
      </w:pPr>
      <w:r>
        <w:t xml:space="preserve">All SPDI measurements:</w:t>
      </w:r>
    </w:p>
    <w:p>
      <w:pPr>
        <w:pStyle w:val="BodyText"/>
      </w:pPr>
      <w:r>
        <w:t xml:space="preserve">MUST be PTL-anchored,</w:t>
      </w:r>
    </w:p>
    <w:p>
      <w:pPr>
        <w:pStyle w:val="BodyText"/>
      </w:pPr>
      <w:r>
        <w:t xml:space="preserve">MUST rely on physically verifiable data,</w:t>
      </w:r>
    </w:p>
    <w:p>
      <w:pPr>
        <w:pStyle w:val="BodyText"/>
      </w:pPr>
      <w:r>
        <w:t xml:space="preserve">MUST be auditable and reproducible,</w:t>
      </w:r>
    </w:p>
    <w:p>
      <w:pPr>
        <w:pStyle w:val="BodyText"/>
      </w:pPr>
      <w:r>
        <w:t xml:space="preserve">SHALL NOT depend on self-reporting alone.</w:t>
      </w:r>
    </w:p>
    <w:p>
      <w:pPr>
        <w:pStyle w:val="BodyText"/>
      </w:pPr>
      <w:r>
        <w:t xml:space="preserve">Sensor tampering, suppression, or manipulation constitutes a critical integrity violation.</w:t>
      </w:r>
    </w:p>
    <w:p>
      <w:pPr>
        <w:pStyle w:val="BodyText"/>
      </w:pPr>
      <w:r>
        <w:t xml:space="preserve">Detection, classification, and enforcement of sensor integrity violations are governed exclusively by:</w:t>
      </w:r>
    </w:p>
    <w:p>
      <w:pPr>
        <w:pStyle w:val="BodyText"/>
      </w:pPr>
      <w:r>
        <w:t xml:space="preserve">DKP-0-ORACLE-001,</w:t>
      </w:r>
    </w:p>
    <w:p>
      <w:pPr>
        <w:pStyle w:val="BodyText"/>
      </w:pPr>
      <w:r>
        <w:t xml:space="preserve">DKP-8-AUDIT-001.</w:t>
      </w:r>
    </w:p>
    <w:p>
      <w:pPr>
        <w:pStyle w:val="BodyText"/>
      </w:pPr>
      <w:r>
        <w:t xml:space="preserve">DKP-5-HABITAT-001 SHALL NOT define independent investigative or punitive mechanisms.</w:t>
      </w:r>
    </w:p>
    <w:p>
      <w:pPr>
        <w:pStyle w:val="BodyText"/>
      </w:pPr>
      <w:r>
        <w:t xml:space="preserve">—</w:t>
      </w:r>
    </w:p>
    <w:bookmarkEnd w:id="18"/>
    <w:bookmarkStart w:id="19" w:name="X0c274ae503731dc9e9eafd32c1cf0e6d3c0f32d"/>
    <w:p>
      <w:pPr>
        <w:pStyle w:val="Heading2"/>
      </w:pPr>
      <w:r>
        <w:t xml:space="preserve">10. Remediation and Compliance</w:t>
      </w:r>
    </w:p>
    <w:p>
      <w:pPr>
        <w:pStyle w:val="FirstParagraph"/>
      </w:pPr>
      <w:r>
        <w:t xml:space="preserve">When admissibility violations are confirmed:</w:t>
      </w:r>
    </w:p>
    <w:p>
      <w:pPr>
        <w:pStyle w:val="BodyText"/>
      </w:pPr>
      <w:r>
        <w:t xml:space="preserve">remediation plans MUST be initiated,</w:t>
      </w:r>
    </w:p>
    <w:p>
      <w:pPr>
        <w:pStyle w:val="BodyText"/>
      </w:pPr>
      <w:r>
        <w:t xml:space="preserve">relocation assistance MAY be provided,</w:t>
      </w:r>
    </w:p>
    <w:p>
      <w:pPr>
        <w:pStyle w:val="BodyText"/>
      </w:pPr>
      <w:r>
        <w:t xml:space="preserve">economic incentives MAY be triggered via L2 protocols,</w:t>
      </w:r>
    </w:p>
    <w:p>
      <w:pPr>
        <w:pStyle w:val="BodyText"/>
      </w:pPr>
      <w:r>
        <w:t xml:space="preserve">forced displacement SHALL NOT be used as a default remedy.</w:t>
      </w:r>
    </w:p>
    <w:p>
      <w:pPr>
        <w:pStyle w:val="BodyText"/>
      </w:pPr>
      <w:r>
        <w:t xml:space="preserve">Persistent or systemic violations escalate to system-level review under DKP-7-SCOPE-001.</w:t>
      </w:r>
    </w:p>
    <w:p>
      <w:pPr>
        <w:pStyle w:val="BodyText"/>
      </w:pPr>
      <w:r>
        <w:t xml:space="preserve">—</w:t>
      </w:r>
    </w:p>
    <w:bookmarkEnd w:id="19"/>
    <w:bookmarkStart w:id="20" w:name="Xb484e2906601e8c76e1d4b2ac25bec307d804f3"/>
    <w:p>
      <w:pPr>
        <w:pStyle w:val="Heading2"/>
      </w:pPr>
      <w:r>
        <w:t xml:space="preserve">11. Scope Limitations</w:t>
      </w:r>
    </w:p>
    <w:p>
      <w:pPr>
        <w:pStyle w:val="FirstParagraph"/>
      </w:pPr>
      <w:r>
        <w:t xml:space="preserve">DKP-5-HABITAT-001 SHALL NOT:</w:t>
      </w:r>
    </w:p>
    <w:p>
      <w:pPr>
        <w:pStyle w:val="BodyText"/>
      </w:pPr>
      <w:r>
        <w:t xml:space="preserve">rank habitats beyond minimum compliance,</w:t>
      </w:r>
    </w:p>
    <w:p>
      <w:pPr>
        <w:pStyle w:val="BodyText"/>
      </w:pPr>
      <w:r>
        <w:t xml:space="preserve">enforce uniform living standards globally,</w:t>
      </w:r>
    </w:p>
    <w:p>
      <w:pPr>
        <w:pStyle w:val="BodyText"/>
      </w:pPr>
      <w:r>
        <w:t xml:space="preserve">mandate specific housing forms,</w:t>
      </w:r>
    </w:p>
    <w:p>
      <w:pPr>
        <w:pStyle w:val="BodyText"/>
      </w:pPr>
      <w:r>
        <w:t xml:space="preserve">override cultural or climatic adaptations.</w:t>
      </w:r>
    </w:p>
    <w:p>
      <w:pPr>
        <w:pStyle w:val="BodyText"/>
      </w:pPr>
      <w:r>
        <w:t xml:space="preserve">This protocol enforces dignity floors, not optimization ceilings.</w:t>
      </w:r>
    </w:p>
    <w:p>
      <w:pPr>
        <w:pStyle w:val="BodyText"/>
      </w:pPr>
      <w:r>
        <w:t xml:space="preserve">—</w:t>
      </w:r>
    </w:p>
    <w:bookmarkEnd w:id="20"/>
    <w:bookmarkStart w:id="21" w:name="X03771ff8964659e954d2f61e42b07c7e3e1842d"/>
    <w:p>
      <w:pPr>
        <w:pStyle w:val="Heading2"/>
      </w:pPr>
      <w:r>
        <w:t xml:space="preserve">12. Transparency and Audit Hooks</w:t>
      </w:r>
    </w:p>
    <w:p>
      <w:pPr>
        <w:pStyle w:val="FirstParagraph"/>
      </w:pPr>
      <w:r>
        <w:t xml:space="preserve">SPDI values and violation flags:</w:t>
      </w:r>
    </w:p>
    <w:p>
      <w:pPr>
        <w:pStyle w:val="BodyText"/>
      </w:pPr>
      <w:r>
        <w:t xml:space="preserve">MUST be available for audit,</w:t>
      </w:r>
    </w:p>
    <w:p>
      <w:pPr>
        <w:pStyle w:val="BodyText"/>
      </w:pPr>
      <w:r>
        <w:t xml:space="preserve">MAY be aggregated to protect individual privacy,</w:t>
      </w:r>
    </w:p>
    <w:p>
      <w:pPr>
        <w:pStyle w:val="BodyText"/>
      </w:pPr>
      <w:r>
        <w:t xml:space="preserve">SHALL be reviewable post-facto.</w:t>
      </w:r>
    </w:p>
    <w:p>
      <w:pPr>
        <w:pStyle w:val="BodyText"/>
      </w:pPr>
      <w:r>
        <w:t xml:space="preserve">Individual-level exposure data SHALL be protected under DKP-7-SCOPE-001.</w:t>
      </w:r>
    </w:p>
    <w:p>
      <w:pPr>
        <w:pStyle w:val="BodyText"/>
      </w:pPr>
      <w:r>
        <w:t xml:space="preserve">—</w:t>
      </w:r>
    </w:p>
    <w:bookmarkEnd w:id="21"/>
    <w:bookmarkStart w:id="22" w:name="Xcfc6abaf9a30f06153c91c662532aea2796c3eb"/>
    <w:p>
      <w:pPr>
        <w:pStyle w:val="Heading2"/>
      </w:pPr>
      <w:r>
        <w:t xml:space="preserve">13. Finality Clause</w:t>
      </w:r>
    </w:p>
    <w:p>
      <w:pPr>
        <w:pStyle w:val="FirstParagraph"/>
      </w:pPr>
      <w:r>
        <w:t xml:space="preserve">This protocol is changed only through the controlled procedure of DKP-4-UPGRADE-001: proposal, simulation under DKP-8-SIMULATION-001, audit under DKP-8-AUDIT-001, acceptance conditions, activation window and rollback.</w:t>
      </w:r>
    </w:p>
    <w:p>
      <w:pPr>
        <w:pStyle w:val="BodyText"/>
      </w:pPr>
      <w:r>
        <w:t xml:space="preserve">In addition:</w:t>
      </w:r>
    </w:p>
    <w:p>
      <w:pPr>
        <w:pStyle w:val="BodyText"/>
      </w:pPr>
      <w:r>
        <w:t xml:space="preserve">any modification requires a new protocol identifier,</w:t>
      </w:r>
    </w:p>
    <w:p>
      <w:pPr>
        <w:pStyle w:val="BodyText"/>
      </w:pPr>
      <w:r>
        <w:t xml:space="preserve">mandatory simulation under DKP-8-SIMULATION-001,</w:t>
      </w:r>
    </w:p>
    <w:p>
      <w:pPr>
        <w:pStyle w:val="BodyText"/>
      </w:pPr>
      <w:r>
        <w:t xml:space="preserve">explicit compatibility declaration with DKP-5-TRANSPORT-001 and DKP-7-SCOPE-001.</w:t>
      </w:r>
    </w:p>
    <w:p>
      <w:pPr>
        <w:pStyle w:val="BodyText"/>
      </w:pPr>
      <w:r>
        <w:t xml:space="preserve">Presentation-only corrections that do not change normative content are not Upgrades (DKP-4-UPGRADE-001 §3); they are recorded only by the "Last updated" date of this document.</w:t>
      </w:r>
    </w:p>
    <w:p>
      <w:pPr>
        <w:pStyle w:val="BodyText"/>
      </w:pPr>
      <w:r>
        <w:t xml:space="preserve">Edition integrity: the SHA-256 digest of the canonical source of each published edition is listed in</w:t>
      </w:r>
      <w:r>
        <w:t xml:space="preserve"> </w:t>
      </w:r>
      <w:r>
        <w:rPr>
          <w:rStyle w:val="VerbatimChar"/>
        </w:rPr>
        <w:t xml:space="preserve">SHA256SUMS.txt</w:t>
      </w:r>
      <w:r>
        <w:t xml:space="preserve"> </w:t>
      </w:r>
      <w:r>
        <w:t xml:space="preserve">of the canonical repository (github.com/anahronic/World).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2026-10-04T10:23:49Z</dcterms:created>
  <dcterms:modified xsi:type="dcterms:W3CDTF">2026-10-04T10:23:49Z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