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3b9fe0653c29c81a7413caa46248ea24afb4c4"/>
    <w:p>
      <w:pPr>
        <w:pStyle w:val="Heading1"/>
      </w:pPr>
      <w:r>
        <w:t xml:space="preserve">Appendix A — Design Rationale &amp; Safeguards (Normative)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a1-non-overlap-with-justice-l1"/>
    <w:p>
      <w:pPr>
        <w:pStyle w:val="Heading3"/>
      </w:pPr>
      <w:r>
        <w:t xml:space="preserve">A.1 Non-Overlap with Justice (L1)</w:t>
      </w:r>
    </w:p>
    <w:p>
      <w:pPr>
        <w:pStyle w:val="FirstParagraph"/>
      </w:pPr>
      <w:r>
        <w:t xml:space="preserve">Low PPDI or high RED SHALL NOT automatically trigger Justice outcomes.</w:t>
      </w:r>
    </w:p>
    <w:p>
      <w:pPr>
        <w:pStyle w:val="BodyText"/>
      </w:pPr>
      <w:r>
        <w:t xml:space="preserve">They are treated as</w:t>
      </w:r>
      <w:r>
        <w:t xml:space="preserve"> </w:t>
      </w:r>
      <w:r>
        <w:rPr>
          <w:b/>
          <w:bCs/>
        </w:rPr>
        <w:t xml:space="preserve">system degradation signals</w:t>
      </w:r>
      <w:r>
        <w:t xml:space="preserve">, not violations by Subjects.</w:t>
      </w:r>
    </w:p>
    <w:p>
      <w:pPr>
        <w:pStyle w:val="BodyText"/>
      </w:pPr>
      <w:r>
        <w:t xml:space="preserve">Justice consequences may only arise through DKP-1-JUSTICE-001 using proper attribution and thresholds.</w:t>
      </w:r>
    </w:p>
    <w:p>
      <w:r>
        <w:pict>
          <v:rect style="width:0;height:1.5pt" o:hralign="center" o:hrstd="t" o:hr="t"/>
        </w:pict>
      </w:r>
    </w:p>
    <w:bookmarkEnd w:id="9"/>
    <w:bookmarkStart w:id="10" w:name="a2-non-overlap-with-defense-l3"/>
    <w:p>
      <w:pPr>
        <w:pStyle w:val="Heading3"/>
      </w:pPr>
      <w:r>
        <w:t xml:space="preserve">A.2 Non-Overlap with Defense (L3)</w:t>
      </w:r>
    </w:p>
    <w:p>
      <w:pPr>
        <w:pStyle w:val="FirstParagraph"/>
      </w:pPr>
      <w:r>
        <w:t xml:space="preserve">This protocol does not address active harm or hostile events.</w:t>
      </w:r>
    </w:p>
    <w:p>
      <w:pPr>
        <w:pStyle w:val="BodyText"/>
      </w:pPr>
      <w:r>
        <w:t xml:space="preserve">Defense remains responsible for real-time containment of physical threats.</w:t>
      </w:r>
    </w:p>
    <w:p>
      <w:pPr>
        <w:pStyle w:val="BodyText"/>
      </w:pPr>
      <w:r>
        <w:t xml:space="preserve">Transport redesign addresses</w:t>
      </w:r>
      <w:r>
        <w:t xml:space="preserve"> </w:t>
      </w:r>
      <w:r>
        <w:rPr>
          <w:b/>
          <w:bCs/>
        </w:rPr>
        <w:t xml:space="preserve">structural risk generation</w:t>
      </w:r>
      <w:r>
        <w:t xml:space="preserve">, not attacks.</w:t>
      </w:r>
    </w:p>
    <w:p>
      <w:r>
        <w:pict>
          <v:rect style="width:0;height:1.5pt" o:hralign="center" o:hrstd="t" o:hr="t"/>
        </w:pict>
      </w:r>
    </w:p>
    <w:bookmarkEnd w:id="10"/>
    <w:bookmarkStart w:id="11" w:name="a3-autonomy--future-transport-modes"/>
    <w:p>
      <w:pPr>
        <w:pStyle w:val="Heading3"/>
      </w:pPr>
      <w:r>
        <w:t xml:space="preserve">A.3 Autonomy &amp; Future Transport Modes</w:t>
      </w:r>
    </w:p>
    <w:p>
      <w:pPr>
        <w:pStyle w:val="FirstParagraph"/>
      </w:pPr>
      <w:r>
        <w:t xml:space="preserve">Autonomous or assisted transport systems are evaluated identically:</w:t>
      </w:r>
    </w:p>
    <w:p>
      <w:pPr>
        <w:pStyle w:val="Compact"/>
        <w:numPr>
          <w:ilvl w:val="0"/>
          <w:numId w:val="1001"/>
        </w:numPr>
      </w:pPr>
      <w:r>
        <w:t xml:space="preserve">if RED approaches zero, economic pressure shifts to PPDI competition,</w:t>
      </w:r>
    </w:p>
    <w:p>
      <w:pPr>
        <w:pStyle w:val="Compact"/>
        <w:numPr>
          <w:ilvl w:val="0"/>
          <w:numId w:val="1001"/>
        </w:numPr>
      </w:pPr>
      <w:r>
        <w:t xml:space="preserve">ownership form is irrelevant,</w:t>
      </w:r>
    </w:p>
    <w:p>
      <w:pPr>
        <w:pStyle w:val="Compact"/>
        <w:numPr>
          <w:ilvl w:val="0"/>
          <w:numId w:val="1001"/>
        </w:numPr>
      </w:pPr>
      <w:r>
        <w:t xml:space="preserve">physical impact remains the sole criterion.</w:t>
      </w:r>
    </w:p>
    <w:p>
      <w:r>
        <w:pict>
          <v:rect style="width:0;height:1.5pt" o:hralign="center" o:hrstd="t" o:hr="t"/>
        </w:pict>
      </w:r>
    </w:p>
    <w:bookmarkEnd w:id="11"/>
    <w:bookmarkStart w:id="12" w:name="a4-axiom-compatibility"/>
    <w:p>
      <w:pPr>
        <w:pStyle w:val="Heading3"/>
      </w:pPr>
      <w:r>
        <w:t xml:space="preserve">A.4 Axiom Compatibility</w:t>
      </w:r>
    </w:p>
    <w:p>
      <w:pPr>
        <w:pStyle w:val="FirstParagraph"/>
      </w:pPr>
      <w:r>
        <w:t xml:space="preserve">This protocol is compatible with:</w:t>
      </w:r>
    </w:p>
    <w:p>
      <w:pPr>
        <w:pStyle w:val="Compact"/>
        <w:numPr>
          <w:ilvl w:val="0"/>
          <w:numId w:val="1002"/>
        </w:numPr>
      </w:pPr>
      <w:r>
        <w:t xml:space="preserve">A1 (Preservation of Life),</w:t>
      </w:r>
    </w:p>
    <w:p>
      <w:pPr>
        <w:pStyle w:val="Compact"/>
        <w:numPr>
          <w:ilvl w:val="0"/>
          <w:numId w:val="1002"/>
        </w:numPr>
      </w:pPr>
      <w:r>
        <w:t xml:space="preserve">A5 (Externality Accountability),</w:t>
      </w:r>
    </w:p>
    <w:p>
      <w:pPr>
        <w:pStyle w:val="Compact"/>
        <w:numPr>
          <w:ilvl w:val="0"/>
          <w:numId w:val="1002"/>
        </w:numPr>
      </w:pPr>
      <w:r>
        <w:t xml:space="preserve">A7 (Minimum Suffering Constraint),</w:t>
      </w:r>
    </w:p>
    <w:p>
      <w:pPr>
        <w:pStyle w:val="FirstParagraph"/>
      </w:pPr>
      <w:r>
        <w:t xml:space="preserve">without encoding axioms as direct enforcement triggers.</w:t>
      </w:r>
    </w:p>
    <w:p>
      <w:r>
        <w:pict>
          <v:rect style="width:0;height:1.5pt" o:hralign="center" o:hrstd="t" o:hr="t"/>
        </w:pict>
      </w:r>
    </w:p>
    <w:bookmarkEnd w:id="12"/>
    <w:bookmarkStart w:id="13" w:name="a5-finality"/>
    <w:p>
      <w:pPr>
        <w:pStyle w:val="Heading3"/>
      </w:pPr>
      <w:r>
        <w:t xml:space="preserve">A.5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03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03"/>
        </w:numPr>
      </w:pPr>
      <w:r>
        <w:t xml:space="preserve">explicit incompatibility declaration,</w:t>
      </w:r>
    </w:p>
    <w:p>
      <w:pPr>
        <w:pStyle w:val="Compact"/>
        <w:numPr>
          <w:ilvl w:val="0"/>
          <w:numId w:val="1003"/>
        </w:numPr>
      </w:pPr>
      <w:r>
        <w:t xml:space="preserve">full-system simulation under DKP-8-SIMULATION.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PROTOCOL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2026-10-04T10:23:49Z</dcterms:created>
  <dcterms:modified xsi:type="dcterms:W3CDTF">2026-10-04T10:23:49Z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