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kp-5-work-cycle-001"/>
    <w:p>
      <w:pPr>
        <w:pStyle w:val="Heading1"/>
      </w:pPr>
      <w:r>
        <w:t xml:space="preserve">DKP-5-WORK-CYCLE-001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Work Cycle &amp; Recovery Rhythm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DKP-5-WORK-CYCLE-001 defines the normative structure of work and recovery within Dikenocracy.</w:t>
      </w:r>
    </w:p>
    <w:p>
      <w:pPr>
        <w:pStyle w:val="BodyText"/>
      </w:pPr>
      <w:r>
        <w:t xml:space="preserve">This protocol treats work cycles as a</w:t>
      </w:r>
      <w:r>
        <w:t xml:space="preserve"> </w:t>
      </w:r>
      <w:r>
        <w:rPr>
          <w:b/>
          <w:bCs/>
        </w:rPr>
        <w:t xml:space="preserve">physical, cognitive, and safety-critical infrastructure</w:t>
      </w:r>
      <w:r>
        <w:t xml:space="preserve">, not as a cultural habit, moral expectation, or legacy industrial convention. Human fatigue, error accumulation, and burnout are considered</w:t>
      </w:r>
      <w:r>
        <w:t xml:space="preserve"> </w:t>
      </w:r>
      <w:r>
        <w:rPr>
          <w:b/>
          <w:bCs/>
        </w:rPr>
        <w:t xml:space="preserve">systemic risks</w:t>
      </w:r>
      <w:r>
        <w:t xml:space="preserve">, not individual failures.</w:t>
      </w:r>
    </w:p>
    <w:p>
      <w:pPr>
        <w:pStyle w:val="BodyText"/>
      </w:pPr>
      <w:r>
        <w:t xml:space="preserve">Accordingly, the protocol abandons the culturally inherited 7-day week as a core unit and replaces it with a</w:t>
      </w:r>
      <w:r>
        <w:t xml:space="preserve"> </w:t>
      </w:r>
      <w:r>
        <w:rPr>
          <w:b/>
          <w:bCs/>
        </w:rPr>
        <w:t xml:space="preserve">physically neutral, mathematically exact, and biologically sustainable cycle</w:t>
      </w:r>
      <w:r>
        <w:t xml:space="preserve">, fully compatible with DTI timekeeping.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DKP-5-WORK-CYCLE-001 is to:</w:t>
      </w:r>
    </w:p>
    <w:p>
      <w:pPr>
        <w:pStyle w:val="Compact"/>
        <w:numPr>
          <w:ilvl w:val="0"/>
          <w:numId w:val="1001"/>
        </w:numPr>
      </w:pPr>
      <w:r>
        <w:t xml:space="preserve">establish a deterministic, culture-neutral work/rest cycle,</w:t>
      </w:r>
    </w:p>
    <w:p>
      <w:pPr>
        <w:pStyle w:val="Compact"/>
        <w:numPr>
          <w:ilvl w:val="0"/>
          <w:numId w:val="1001"/>
        </w:numPr>
      </w:pPr>
      <w:r>
        <w:t xml:space="preserve">guarantee mandatory intra-day recovery,</w:t>
      </w:r>
    </w:p>
    <w:p>
      <w:pPr>
        <w:pStyle w:val="Compact"/>
        <w:numPr>
          <w:ilvl w:val="0"/>
          <w:numId w:val="1001"/>
        </w:numPr>
      </w:pPr>
      <w:r>
        <w:t xml:space="preserve">reduce systemic error, injury, and burnout risk,</w:t>
      </w:r>
    </w:p>
    <w:p>
      <w:pPr>
        <w:pStyle w:val="Compact"/>
        <w:numPr>
          <w:ilvl w:val="0"/>
          <w:numId w:val="1001"/>
        </w:numPr>
      </w:pPr>
      <w:r>
        <w:t xml:space="preserve">ensure compatibility with 24/7 critical infrastructure,</w:t>
      </w:r>
    </w:p>
    <w:p>
      <w:pPr>
        <w:pStyle w:val="Compact"/>
        <w:numPr>
          <w:ilvl w:val="0"/>
          <w:numId w:val="1001"/>
        </w:numPr>
      </w:pPr>
      <w:r>
        <w:t xml:space="preserve">decouple productivity from continuous human exhaustion,</w:t>
      </w:r>
    </w:p>
    <w:p>
      <w:pPr>
        <w:pStyle w:val="Compact"/>
        <w:numPr>
          <w:ilvl w:val="0"/>
          <w:numId w:val="1001"/>
        </w:numPr>
      </w:pPr>
      <w:r>
        <w:t xml:space="preserve">provide measurable constraints for workforce planning and simulation.</w:t>
      </w:r>
    </w:p>
    <w:p>
      <w:r>
        <w:pict>
          <v:rect style="width:0;height:1.5pt" o:hralign="center" o:hrstd="t" o:hr="t"/>
        </w:pict>
      </w:r>
    </w:p>
    <w:bookmarkEnd w:id="10"/>
    <w:bookmarkStart w:id="11" w:name="Xb66d8751654b4b3bfdfa8df98730d37eb4be826"/>
    <w:p>
      <w:pPr>
        <w:pStyle w:val="Heading3"/>
      </w:pPr>
      <w:r>
        <w:t xml:space="preserve">2. Scope</w:t>
      </w:r>
    </w:p>
    <w:p>
      <w:pPr>
        <w:pStyle w:val="FirstParagraph"/>
      </w:pPr>
      <w:r>
        <w:t xml:space="preserve">This protocol applies to:</w:t>
      </w:r>
    </w:p>
    <w:p>
      <w:pPr>
        <w:pStyle w:val="Compact"/>
        <w:numPr>
          <w:ilvl w:val="0"/>
          <w:numId w:val="1002"/>
        </w:numPr>
      </w:pPr>
      <w:r>
        <w:t xml:space="preserve">all standard labor arrangements under DKP,</w:t>
      </w:r>
    </w:p>
    <w:p>
      <w:pPr>
        <w:pStyle w:val="Compact"/>
        <w:numPr>
          <w:ilvl w:val="0"/>
          <w:numId w:val="1002"/>
        </w:numPr>
      </w:pPr>
      <w:r>
        <w:t xml:space="preserve">public services and private enterprises,</w:t>
      </w:r>
    </w:p>
    <w:p>
      <w:pPr>
        <w:pStyle w:val="Compact"/>
        <w:numPr>
          <w:ilvl w:val="0"/>
          <w:numId w:val="1002"/>
        </w:numPr>
      </w:pPr>
      <w:r>
        <w:t xml:space="preserve">critical and non-critical sectors.</w:t>
      </w:r>
    </w:p>
    <w:p>
      <w:pPr>
        <w:pStyle w:val="FirstParagraph"/>
      </w:pPr>
      <w:r>
        <w:t xml:space="preserve">Sector-specific adaptations are permitted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all invariants defined herein are preserved.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3"/>
      </w:pPr>
      <w:r>
        <w:t xml:space="preserve">3. Definitions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DTI-Day</w:t>
      </w:r>
    </w:p>
    <w:p>
      <w:pPr>
        <w:numPr>
          <w:ilvl w:val="0"/>
          <w:numId w:val="1000"/>
        </w:numPr>
      </w:pPr>
      <w:r>
        <w:t xml:space="preserve">A physical day indexed under DKP-0-TIME-001.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Cycle6</w:t>
      </w:r>
    </w:p>
    <w:p>
      <w:pPr>
        <w:numPr>
          <w:ilvl w:val="0"/>
          <w:numId w:val="1000"/>
        </w:numPr>
      </w:pPr>
      <w:r>
        <w:t xml:space="preserve">A 6-day overlay cycle defined as:</w:t>
      </w:r>
      <w:r>
        <w:t xml:space="preserve"> </w:t>
      </w:r>
      <w:r>
        <w:rPr>
          <w:rStyle w:val="VerbatimChar"/>
        </w:rPr>
        <w:t xml:space="preserve">CycleDay = DTI-Day mod 6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Workday (W)</w:t>
      </w:r>
    </w:p>
    <w:p>
      <w:pPr>
        <w:numPr>
          <w:ilvl w:val="0"/>
          <w:numId w:val="1000"/>
        </w:numPr>
      </w:pPr>
      <w:r>
        <w:t xml:space="preserve">A day containing a mandatory productive work obligation.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Restday (R)</w:t>
      </w:r>
    </w:p>
    <w:p>
      <w:pPr>
        <w:numPr>
          <w:ilvl w:val="0"/>
          <w:numId w:val="1000"/>
        </w:numPr>
      </w:pPr>
      <w:r>
        <w:t xml:space="preserve">A day containing no productive work obligation.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Presence Window</w:t>
      </w:r>
    </w:p>
    <w:p>
      <w:pPr>
        <w:numPr>
          <w:ilvl w:val="0"/>
          <w:numId w:val="1000"/>
        </w:numPr>
      </w:pPr>
      <w:r>
        <w:t xml:space="preserve">The total time a worker is scheduled to be available on a workday.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Productive Work Time</w:t>
      </w:r>
    </w:p>
    <w:p>
      <w:pPr>
        <w:numPr>
          <w:ilvl w:val="0"/>
          <w:numId w:val="1000"/>
        </w:numPr>
      </w:pPr>
      <w:r>
        <w:t xml:space="preserve">Time spent on direct labor tasks.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Recovery Block</w:t>
      </w:r>
    </w:p>
    <w:p>
      <w:pPr>
        <w:numPr>
          <w:ilvl w:val="0"/>
          <w:numId w:val="1000"/>
        </w:numPr>
      </w:pPr>
      <w:r>
        <w:t xml:space="preserve">Mandatory non-working time within a workday dedicated to recovery.</w:t>
      </w:r>
    </w:p>
    <w:p>
      <w:r>
        <w:pict>
          <v:rect style="width:0;height:1.5pt" o:hralign="center" o:hrstd="t" o:hr="t"/>
        </w:pict>
      </w:r>
    </w:p>
    <w:bookmarkEnd w:id="12"/>
    <w:bookmarkStart w:id="15" w:name="X170d6ea3366ad385c32e284876c3128bdeaea35"/>
    <w:p>
      <w:pPr>
        <w:pStyle w:val="Heading3"/>
      </w:pPr>
      <w:r>
        <w:t xml:space="preserve">4. Standard Work Cycle</w:t>
      </w:r>
    </w:p>
    <w:bookmarkStart w:id="13" w:name="Xdca5650f8b654c18270cdc32e05774d2b172658"/>
    <w:p>
      <w:pPr>
        <w:pStyle w:val="Heading4"/>
      </w:pPr>
      <w:r>
        <w:t xml:space="preserve">4.1 Cycle Structure</w:t>
      </w:r>
    </w:p>
    <w:p>
      <w:pPr>
        <w:pStyle w:val="FirstParagraph"/>
      </w:pPr>
      <w:r>
        <w:t xml:space="preserve">The normative default cycle is a</w:t>
      </w:r>
      <w:r>
        <w:t xml:space="preserve"> </w:t>
      </w:r>
      <w:r>
        <w:rPr>
          <w:b/>
          <w:bCs/>
        </w:rPr>
        <w:t xml:space="preserve">6-day cycle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[W, W, R, W, W, R]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04"/>
        </w:numPr>
      </w:pPr>
      <w:r>
        <w:t xml:space="preserve">two consecutive workdays,</w:t>
      </w:r>
    </w:p>
    <w:p>
      <w:pPr>
        <w:pStyle w:val="Compact"/>
        <w:numPr>
          <w:ilvl w:val="0"/>
          <w:numId w:val="1004"/>
        </w:numPr>
      </w:pPr>
      <w:r>
        <w:t xml:space="preserve">one restday,</w:t>
      </w:r>
    </w:p>
    <w:p>
      <w:pPr>
        <w:pStyle w:val="Compact"/>
        <w:numPr>
          <w:ilvl w:val="0"/>
          <w:numId w:val="1004"/>
        </w:numPr>
      </w:pPr>
      <w:r>
        <w:t xml:space="preserve">two consecutive workdays,</w:t>
      </w:r>
    </w:p>
    <w:p>
      <w:pPr>
        <w:pStyle w:val="Compact"/>
        <w:numPr>
          <w:ilvl w:val="0"/>
          <w:numId w:val="1004"/>
        </w:numPr>
      </w:pPr>
      <w:r>
        <w:t xml:space="preserve">one restday.</w:t>
      </w:r>
    </w:p>
    <w:bookmarkEnd w:id="13"/>
    <w:bookmarkStart w:id="14" w:name="X7b1b0c22c3aaefa61ffb824df339f29ba3ab0a1"/>
    <w:p>
      <w:pPr>
        <w:pStyle w:val="Heading4"/>
      </w:pPr>
      <w:r>
        <w:t xml:space="preserve">4.2 Properties</w:t>
      </w:r>
    </w:p>
    <w:p>
      <w:pPr>
        <w:numPr>
          <w:ilvl w:val="0"/>
          <w:numId w:val="1005"/>
        </w:numPr>
      </w:pPr>
      <w:r>
        <w:t xml:space="preserve">Maximum consecutive workdays:</w:t>
      </w:r>
      <w:r>
        <w:t xml:space="preserve"> </w:t>
      </w:r>
      <w:r>
        <w:rPr>
          <w:b/>
          <w:bCs/>
        </w:rPr>
        <w:t xml:space="preserve">2</w:t>
      </w:r>
    </w:p>
    <w:p>
      <w:pPr>
        <w:numPr>
          <w:ilvl w:val="0"/>
          <w:numId w:val="1005"/>
        </w:numPr>
      </w:pPr>
      <w:r>
        <w:t xml:space="preserve">Rest frequency: every</w:t>
      </w:r>
      <w:r>
        <w:t xml:space="preserve"> </w:t>
      </w:r>
      <w:r>
        <w:rPr>
          <w:b/>
          <w:bCs/>
        </w:rPr>
        <w:t xml:space="preserve">≤ 3 days</w:t>
      </w:r>
    </w:p>
    <w:p>
      <w:pPr>
        <w:numPr>
          <w:ilvl w:val="0"/>
          <w:numId w:val="1005"/>
        </w:numPr>
      </w:pPr>
      <w:r>
        <w:t xml:space="preserve">Full compatibility with a 360-day DTI year:</w:t>
      </w:r>
    </w:p>
    <w:p>
      <w:pPr>
        <w:numPr>
          <w:ilvl w:val="0"/>
          <w:numId w:val="1000"/>
        </w:numPr>
      </w:pPr>
      <w:r>
        <w:t xml:space="preserve">* 360 / 6 = 60 exact cycles per year</w:t>
      </w:r>
    </w:p>
    <w:p>
      <w:pPr>
        <w:pStyle w:val="FirstParagraph"/>
      </w:pPr>
      <w:r>
        <w:t xml:space="preserve">The 7-day week is explicitly</w:t>
      </w:r>
      <w:r>
        <w:t xml:space="preserve"> </w:t>
      </w:r>
      <w:r>
        <w:rPr>
          <w:b/>
          <w:bCs/>
        </w:rPr>
        <w:t xml:space="preserve">non-normative</w:t>
      </w:r>
      <w:r>
        <w:t xml:space="preserve"> </w:t>
      </w:r>
      <w:r>
        <w:t xml:space="preserve">and may exist only as a local cultural overlay without legal or computational authority.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118665ea45339cb3b4de284141fc56dc5b69cf6"/>
    <w:p>
      <w:pPr>
        <w:pStyle w:val="Heading3"/>
      </w:pPr>
      <w:r>
        <w:t xml:space="preserve">5. Daily Workday Structure</w:t>
      </w:r>
    </w:p>
    <w:bookmarkStart w:id="16" w:name="X16f229d8ecde173271e50b36f5540684b64eb85"/>
    <w:p>
      <w:pPr>
        <w:pStyle w:val="Heading4"/>
      </w:pPr>
      <w:r>
        <w:t xml:space="preserve">5.1 Normative Time Allocation (Workday)</w:t>
      </w:r>
    </w:p>
    <w:p>
      <w:pPr>
        <w:pStyle w:val="FirstParagraph"/>
      </w:pPr>
      <w:r>
        <w:t xml:space="preserve">Each workday SHALL be structured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Presence Window:</w:t>
      </w:r>
      <w:r>
        <w:t xml:space="preserve"> </w:t>
      </w:r>
      <w:r>
        <w:t xml:space="preserve">10 hours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Productive Work Time:</w:t>
      </w:r>
      <w:r>
        <w:t xml:space="preserve"> </w:t>
      </w:r>
      <w:r>
        <w:t xml:space="preserve">8 hours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Mandatory Recovery Block:</w:t>
      </w:r>
      <w:r>
        <w:t xml:space="preserve"> </w:t>
      </w:r>
      <w:r>
        <w:t xml:space="preserve">2 hours</w:t>
      </w:r>
    </w:p>
    <w:p>
      <w:pPr>
        <w:pStyle w:val="FirstParagraph"/>
      </w:pPr>
      <w:r>
        <w:t xml:space="preserve">Formally:</w:t>
      </w:r>
    </w:p>
    <w:p>
      <w:pPr>
        <w:pStyle w:val="BodyText"/>
      </w:pPr>
      <w:r>
        <w:t xml:space="preserve">Presence = 10h Work = 8h Recovery = 2h</w:t>
      </w:r>
    </w:p>
    <w:bookmarkEnd w:id="16"/>
    <w:bookmarkStart w:id="17" w:name="X8e2d0c4414d4534906c6111459651a4cb4399d0"/>
    <w:p>
      <w:pPr>
        <w:pStyle w:val="Heading4"/>
      </w:pPr>
      <w:r>
        <w:t xml:space="preserve">5.2 Recommended Default Layout</w:t>
      </w:r>
    </w:p>
    <w:p>
      <w:pPr>
        <w:pStyle w:val="FirstParagraph"/>
      </w:pPr>
      <w:r>
        <w:t xml:space="preserve">A recommended (but not mandatory) structure:</w:t>
      </w:r>
    </w:p>
    <w:p>
      <w:pPr>
        <w:pStyle w:val="Compact"/>
        <w:numPr>
          <w:ilvl w:val="0"/>
          <w:numId w:val="1007"/>
        </w:numPr>
      </w:pPr>
      <w:r>
        <w:t xml:space="preserve">4 hours productive work</w:t>
      </w:r>
    </w:p>
    <w:p>
      <w:pPr>
        <w:pStyle w:val="Compact"/>
        <w:numPr>
          <w:ilvl w:val="0"/>
          <w:numId w:val="1007"/>
        </w:numPr>
      </w:pPr>
      <w:r>
        <w:t xml:space="preserve">2 hours recovery</w:t>
      </w:r>
    </w:p>
    <w:p>
      <w:pPr>
        <w:pStyle w:val="Compact"/>
        <w:numPr>
          <w:ilvl w:val="0"/>
          <w:numId w:val="1007"/>
        </w:numPr>
      </w:pPr>
      <w:r>
        <w:t xml:space="preserve">4 hours productive work</w:t>
      </w:r>
    </w:p>
    <w:bookmarkEnd w:id="17"/>
    <w:bookmarkStart w:id="18" w:name="X3ffe33d9aec226a583b49f783fbd4383e2655bb"/>
    <w:p>
      <w:pPr>
        <w:pStyle w:val="Heading4"/>
      </w:pPr>
      <w:r>
        <w:t xml:space="preserve">5.3 Recovery Block Rules</w:t>
      </w:r>
    </w:p>
    <w:p>
      <w:pPr>
        <w:numPr>
          <w:ilvl w:val="0"/>
          <w:numId w:val="1008"/>
        </w:numPr>
      </w:pPr>
      <w:r>
        <w:t xml:space="preserve">The recovery block: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is not counted as work time,</w:t>
      </w:r>
      <w:r>
        <w:t xml:space="preserve"> </w:t>
      </w:r>
      <w:r>
        <w:t xml:space="preserve">cannot be removed, reduced, or monetized, * does not require justification.</w:t>
      </w:r>
    </w:p>
    <w:p>
      <w:pPr>
        <w:numPr>
          <w:ilvl w:val="0"/>
          <w:numId w:val="1008"/>
        </w:numPr>
      </w:pPr>
      <w:r>
        <w:t xml:space="preserve">Permitted recovery activities include: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meals,</w:t>
      </w:r>
      <w:r>
        <w:t xml:space="preserve"> </w:t>
      </w:r>
      <w:r>
        <w:t xml:space="preserve">sleep or rest,</w:t>
      </w:r>
      <w:r>
        <w:t xml:space="preserve"> </w:t>
      </w:r>
      <w:r>
        <w:rPr>
          <w:i/>
          <w:iCs/>
        </w:rPr>
        <w:t xml:space="preserve">personal or family needs,</w:t>
      </w:r>
      <w:r>
        <w:t xml:space="preserve"> </w:t>
      </w:r>
      <w:r>
        <w:t xml:space="preserve">non-work mobility.</w:t>
      </w:r>
    </w:p>
    <w:p>
      <w:pPr>
        <w:pStyle w:val="FirstParagraph"/>
      </w:pPr>
      <w:r>
        <w:t xml:space="preserve">The recovery block is considered</w:t>
      </w:r>
      <w:r>
        <w:t xml:space="preserve"> </w:t>
      </w:r>
      <w:r>
        <w:rPr>
          <w:b/>
          <w:bCs/>
        </w:rPr>
        <w:t xml:space="preserve">system-required</w:t>
      </w:r>
      <w:r>
        <w:t xml:space="preserve">, not discretionary.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c1b319b235c3169854b0645cd3bf03251fc37b2"/>
    <w:p>
      <w:pPr>
        <w:pStyle w:val="Heading3"/>
      </w:pPr>
      <w:r>
        <w:t xml:space="preserve">6. Cycle Accounting</w:t>
      </w:r>
    </w:p>
    <w:p>
      <w:pPr>
        <w:pStyle w:val="FirstParagraph"/>
      </w:pPr>
      <w:r>
        <w:t xml:space="preserve">Per 6-day cycle:</w:t>
      </w:r>
    </w:p>
    <w:p>
      <w:pPr>
        <w:pStyle w:val="Compact"/>
        <w:numPr>
          <w:ilvl w:val="0"/>
          <w:numId w:val="1009"/>
        </w:numPr>
      </w:pPr>
      <w:r>
        <w:t xml:space="preserve">Workdays: 4</w:t>
      </w:r>
    </w:p>
    <w:p>
      <w:pPr>
        <w:pStyle w:val="Compact"/>
        <w:numPr>
          <w:ilvl w:val="0"/>
          <w:numId w:val="1009"/>
        </w:numPr>
      </w:pPr>
      <w:r>
        <w:t xml:space="preserve">Restdays: 2</w:t>
      </w:r>
    </w:p>
    <w:p>
      <w:pPr>
        <w:pStyle w:val="Compact"/>
        <w:numPr>
          <w:ilvl w:val="0"/>
          <w:numId w:val="1009"/>
        </w:numPr>
      </w:pPr>
      <w:r>
        <w:t xml:space="preserve">Productive work: 32 hours</w:t>
      </w:r>
    </w:p>
    <w:p>
      <w:pPr>
        <w:pStyle w:val="Compact"/>
        <w:numPr>
          <w:ilvl w:val="0"/>
          <w:numId w:val="1009"/>
        </w:numPr>
      </w:pPr>
      <w:r>
        <w:t xml:space="preserve">Presence: 40 hours</w:t>
      </w:r>
    </w:p>
    <w:p>
      <w:pPr>
        <w:pStyle w:val="Compact"/>
        <w:numPr>
          <w:ilvl w:val="0"/>
          <w:numId w:val="1009"/>
        </w:numPr>
      </w:pPr>
      <w:r>
        <w:t xml:space="preserve">Recovery: 8 hours</w:t>
      </w:r>
    </w:p>
    <w:p>
      <w:pPr>
        <w:pStyle w:val="FirstParagraph"/>
      </w:pPr>
      <w:r>
        <w:t xml:space="preserve">Per DTI-Year (360 days):</w:t>
      </w:r>
    </w:p>
    <w:p>
      <w:pPr>
        <w:pStyle w:val="Compact"/>
        <w:numPr>
          <w:ilvl w:val="0"/>
          <w:numId w:val="1010"/>
        </w:numPr>
      </w:pPr>
      <w:r>
        <w:t xml:space="preserve">Workdays: 240</w:t>
      </w:r>
    </w:p>
    <w:p>
      <w:pPr>
        <w:pStyle w:val="Compact"/>
        <w:numPr>
          <w:ilvl w:val="0"/>
          <w:numId w:val="1010"/>
        </w:numPr>
      </w:pPr>
      <w:r>
        <w:t xml:space="preserve">Productive work: 1,920 hours</w:t>
      </w:r>
    </w:p>
    <w:p>
      <w:pPr>
        <w:pStyle w:val="Compact"/>
        <w:numPr>
          <w:ilvl w:val="0"/>
          <w:numId w:val="1010"/>
        </w:numPr>
      </w:pPr>
      <w:r>
        <w:t xml:space="preserve">Presence: 2,400 hours</w:t>
      </w:r>
    </w:p>
    <w:p>
      <w:pPr>
        <w:pStyle w:val="Compact"/>
        <w:numPr>
          <w:ilvl w:val="0"/>
          <w:numId w:val="1010"/>
        </w:numPr>
      </w:pPr>
      <w:r>
        <w:t xml:space="preserve">Mandatory recovery: 480 hours</w:t>
      </w:r>
    </w:p>
    <w:p>
      <w:r>
        <w:pict>
          <v:rect style="width:0;height:1.5pt" o:hralign="center" o:hrstd="t" o:hr="t"/>
        </w:pict>
      </w:r>
    </w:p>
    <w:bookmarkEnd w:id="20"/>
    <w:bookmarkStart w:id="21" w:name="X7a26fe6b2a9f9383ef3a25fa000010e18f0abf4"/>
    <w:p>
      <w:pPr>
        <w:pStyle w:val="Heading3"/>
      </w:pPr>
      <w:r>
        <w:t xml:space="preserve">7. Recovery Invariant (Hard Constraint)</w:t>
      </w:r>
    </w:p>
    <w:p>
      <w:pPr>
        <w:pStyle w:val="FirstParagraph"/>
      </w:pPr>
      <w:r>
        <w:t xml:space="preserve">Under no circumstances may a system-approved schedule violate the following invariant:</w:t>
      </w:r>
    </w:p>
    <w:p>
      <w:pPr>
        <w:numPr>
          <w:ilvl w:val="0"/>
          <w:numId w:val="1011"/>
        </w:numPr>
      </w:pPr>
      <w:r>
        <w:t xml:space="preserve">No worker may be assigned more than</w:t>
      </w:r>
      <w:r>
        <w:t xml:space="preserve"> </w:t>
      </w:r>
      <w:r>
        <w:rPr>
          <w:b/>
          <w:bCs/>
        </w:rPr>
        <w:t xml:space="preserve">2 consecutive workdays</w:t>
      </w:r>
      <w:r>
        <w:t xml:space="preserve"> </w:t>
      </w:r>
      <w:r>
        <w:t xml:space="preserve">without a restday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OR</w:t>
      </w:r>
    </w:p>
    <w:p>
      <w:pPr>
        <w:numPr>
          <w:ilvl w:val="0"/>
          <w:numId w:val="1011"/>
        </w:numPr>
      </w:pPr>
      <w:r>
        <w:t xml:space="preserve">An equivalent, demonstrably safe recovery compensation must be provided.</w:t>
      </w:r>
    </w:p>
    <w:p>
      <w:pPr>
        <w:pStyle w:val="FirstParagraph"/>
      </w:pPr>
      <w:r>
        <w:t xml:space="preserve">Violation of this invariant constitutes a</w:t>
      </w:r>
      <w:r>
        <w:t xml:space="preserve"> </w:t>
      </w:r>
      <w:r>
        <w:rPr>
          <w:b/>
          <w:bCs/>
        </w:rPr>
        <w:t xml:space="preserve">system planning failure</w:t>
      </w:r>
      <w:r>
        <w:t xml:space="preserve">, not individual misconduct.</w:t>
      </w:r>
    </w:p>
    <w:p>
      <w:r>
        <w:pict>
          <v:rect style="width:0;height:1.5pt" o:hralign="center" o:hrstd="t" o:hr="t"/>
        </w:pict>
      </w:r>
    </w:p>
    <w:bookmarkEnd w:id="21"/>
    <w:bookmarkStart w:id="25" w:name="Xde2af46bc33a2829293a72a4cce4a0d6ec84fa7"/>
    <w:p>
      <w:pPr>
        <w:pStyle w:val="Heading3"/>
      </w:pPr>
      <w:r>
        <w:t xml:space="preserve">8. 24/7 and High-Intensity Environments</w:t>
      </w:r>
    </w:p>
    <w:bookmarkStart w:id="22" w:name="X2c63db749cf67fab61f7a82b316961c4eaa1382"/>
    <w:p>
      <w:pPr>
        <w:pStyle w:val="Heading4"/>
      </w:pPr>
      <w:r>
        <w:t xml:space="preserve">8.1 Shift-Based Continuity</w:t>
      </w:r>
    </w:p>
    <w:p>
      <w:pPr>
        <w:pStyle w:val="FirstParagraph"/>
      </w:pPr>
      <w:r>
        <w:t xml:space="preserve">Continuous operation (e.g., hospitals, emergency services, infrastructure control) SHALL be achieved through:</w:t>
      </w:r>
    </w:p>
    <w:p>
      <w:pPr>
        <w:pStyle w:val="Compact"/>
        <w:numPr>
          <w:ilvl w:val="0"/>
          <w:numId w:val="1012"/>
        </w:numPr>
      </w:pPr>
      <w:r>
        <w:t xml:space="preserve">multiple shifts,</w:t>
      </w:r>
    </w:p>
    <w:p>
      <w:pPr>
        <w:pStyle w:val="Compact"/>
        <w:numPr>
          <w:ilvl w:val="0"/>
          <w:numId w:val="1012"/>
        </w:numPr>
      </w:pPr>
      <w:r>
        <w:t xml:space="preserve">workforce scaling,</w:t>
      </w:r>
    </w:p>
    <w:p>
      <w:pPr>
        <w:pStyle w:val="Compact"/>
        <w:numPr>
          <w:ilvl w:val="0"/>
          <w:numId w:val="1012"/>
        </w:numPr>
      </w:pPr>
      <w:r>
        <w:t xml:space="preserve">shift overlap,</w:t>
      </w:r>
    </w:p>
    <w:p>
      <w:pPr>
        <w:pStyle w:val="Compact"/>
        <w:numPr>
          <w:ilvl w:val="0"/>
          <w:numId w:val="1012"/>
        </w:numPr>
      </w:pPr>
      <w:r>
        <w:t xml:space="preserve">capacity buffering.</w:t>
      </w:r>
    </w:p>
    <w:p>
      <w:pPr>
        <w:pStyle w:val="FirstParagraph"/>
      </w:pPr>
      <w:r>
        <w:t xml:space="preserve">Continuous service SHALL NOT be achieved through exhaustion of individual workers.</w:t>
      </w:r>
    </w:p>
    <w:p>
      <w:r>
        <w:pict>
          <v:rect style="width:0;height:1.5pt" o:hralign="center" o:hrstd="t" o:hr="t"/>
        </w:pict>
      </w:r>
    </w:p>
    <w:bookmarkEnd w:id="22"/>
    <w:bookmarkStart w:id="23" w:name="Xf8a5e7d588fd6f7d949a3465603c76e27f28dc9"/>
    <w:p>
      <w:pPr>
        <w:pStyle w:val="Heading4"/>
      </w:pPr>
      <w:r>
        <w:t xml:space="preserve">8.2 Shift Requirements</w:t>
      </w:r>
    </w:p>
    <w:p>
      <w:pPr>
        <w:pStyle w:val="FirstParagraph"/>
      </w:pPr>
      <w:r>
        <w:t xml:space="preserve">Each shift SHALL preserve:</w:t>
      </w:r>
    </w:p>
    <w:p>
      <w:pPr>
        <w:pStyle w:val="Compact"/>
        <w:numPr>
          <w:ilvl w:val="0"/>
          <w:numId w:val="1013"/>
        </w:numPr>
      </w:pPr>
      <w:r>
        <w:t xml:space="preserve">a 10-hour presence window,</w:t>
      </w:r>
    </w:p>
    <w:p>
      <w:pPr>
        <w:pStyle w:val="Compact"/>
        <w:numPr>
          <w:ilvl w:val="0"/>
          <w:numId w:val="1013"/>
        </w:numPr>
      </w:pPr>
      <w:r>
        <w:t xml:space="preserve">8 hours productive work,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minimum 2 hours recovery</w:t>
      </w:r>
      <w:r>
        <w:t xml:space="preserve"> </w:t>
      </w:r>
      <w:r>
        <w:t xml:space="preserve">per shift.</w:t>
      </w:r>
    </w:p>
    <w:p>
      <w:pPr>
        <w:pStyle w:val="FirstParagraph"/>
      </w:pPr>
      <w:r>
        <w:t xml:space="preserve">For high-intensity environments: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3–4 hours recovery per shift is recommended</w:t>
      </w:r>
      <w:r>
        <w:t xml:space="preserve">, potentially fragmented.</w:t>
      </w:r>
    </w:p>
    <w:bookmarkEnd w:id="23"/>
    <w:bookmarkStart w:id="24" w:name="Xc0b8ed49937242f9cecd6bf0405fe2f0c5cf173"/>
    <w:p>
      <w:pPr>
        <w:pStyle w:val="Heading4"/>
      </w:pPr>
      <w:r>
        <w:t xml:space="preserve">8.3 Overlaps and Peak Load</w:t>
      </w:r>
    </w:p>
    <w:p>
      <w:pPr>
        <w:numPr>
          <w:ilvl w:val="0"/>
          <w:numId w:val="1015"/>
        </w:numPr>
      </w:pPr>
      <w:r>
        <w:t xml:space="preserve">Overlapping shifts during peak hours are: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explicitly permitted,</w:t>
      </w:r>
      <w:r>
        <w:t xml:space="preserve"> </w:t>
      </w:r>
      <w:r>
        <w:t xml:space="preserve">treated as capacity design, not inefficiency.</w:t>
      </w:r>
    </w:p>
    <w:p>
      <w:pPr>
        <w:numPr>
          <w:ilvl w:val="0"/>
          <w:numId w:val="1015"/>
        </w:numPr>
      </w:pPr>
      <w:r>
        <w:t xml:space="preserve">Simultaneous multi-shift presence during peaks is considered normal and encouraged.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599f094a0e671a18faf26824abd8fd0e54ec3c"/>
    <w:p>
      <w:pPr>
        <w:pStyle w:val="Heading3"/>
      </w:pPr>
      <w:r>
        <w:t xml:space="preserve">9. Monitoring &amp; KPIs (Minimum Set)</w:t>
      </w:r>
    </w:p>
    <w:p>
      <w:pPr>
        <w:pStyle w:val="FirstParagraph"/>
      </w:pPr>
      <w:r>
        <w:t xml:space="preserve">Implementations SHALL monitor at least:</w:t>
      </w:r>
    </w:p>
    <w:p>
      <w:pPr>
        <w:pStyle w:val="Compact"/>
        <w:numPr>
          <w:ilvl w:val="0"/>
          <w:numId w:val="1016"/>
        </w:numPr>
      </w:pPr>
      <w:r>
        <w:t xml:space="preserve">error and incident rates,</w:t>
      </w:r>
    </w:p>
    <w:p>
      <w:pPr>
        <w:pStyle w:val="Compact"/>
        <w:numPr>
          <w:ilvl w:val="0"/>
          <w:numId w:val="1016"/>
        </w:numPr>
      </w:pPr>
      <w:r>
        <w:t xml:space="preserve">sick leave frequency,</w:t>
      </w:r>
    </w:p>
    <w:p>
      <w:pPr>
        <w:pStyle w:val="Compact"/>
        <w:numPr>
          <w:ilvl w:val="0"/>
          <w:numId w:val="1016"/>
        </w:numPr>
      </w:pPr>
      <w:r>
        <w:t xml:space="preserve">staff attrition,</w:t>
      </w:r>
    </w:p>
    <w:p>
      <w:pPr>
        <w:pStyle w:val="Compact"/>
        <w:numPr>
          <w:ilvl w:val="0"/>
          <w:numId w:val="1016"/>
        </w:numPr>
      </w:pPr>
      <w:r>
        <w:t xml:space="preserve">output per productive hour,</w:t>
      </w:r>
    </w:p>
    <w:p>
      <w:pPr>
        <w:pStyle w:val="Compact"/>
        <w:numPr>
          <w:ilvl w:val="0"/>
          <w:numId w:val="1016"/>
        </w:numPr>
      </w:pPr>
      <w:r>
        <w:t xml:space="preserve">recovery compliance rate.</w:t>
      </w:r>
    </w:p>
    <w:p>
      <w:pPr>
        <w:pStyle w:val="FirstParagraph"/>
      </w:pPr>
      <w:r>
        <w:t xml:space="preserve">Persistent degradation in these metrics SHALL trigger mandatory schedule review.</w:t>
      </w:r>
    </w:p>
    <w:p>
      <w:r>
        <w:pict>
          <v:rect style="width:0;height:1.5pt" o:hralign="center" o:hrstd="t" o:hr="t"/>
        </w:pict>
      </w:r>
    </w:p>
    <w:bookmarkEnd w:id="26"/>
    <w:bookmarkStart w:id="27" w:name="Xc7db8f6de8ccc3802ce26cef94b1abb44eeb67b"/>
    <w:p>
      <w:pPr>
        <w:pStyle w:val="Heading3"/>
      </w:pPr>
      <w:r>
        <w:t xml:space="preserve">10. Exceptions</w:t>
      </w:r>
    </w:p>
    <w:p>
      <w:pPr>
        <w:pStyle w:val="FirstParagraph"/>
      </w:pPr>
      <w:r>
        <w:t xml:space="preserve">Exceptions are permitted only:</w:t>
      </w:r>
    </w:p>
    <w:p>
      <w:pPr>
        <w:pStyle w:val="Compact"/>
        <w:numPr>
          <w:ilvl w:val="0"/>
          <w:numId w:val="1017"/>
        </w:numPr>
      </w:pPr>
      <w:r>
        <w:t xml:space="preserve">in clearly defined crisis scopes,</w:t>
      </w:r>
    </w:p>
    <w:p>
      <w:pPr>
        <w:pStyle w:val="Compact"/>
        <w:numPr>
          <w:ilvl w:val="0"/>
          <w:numId w:val="1017"/>
        </w:numPr>
      </w:pPr>
      <w:r>
        <w:t xml:space="preserve">for limited duration,</w:t>
      </w:r>
    </w:p>
    <w:p>
      <w:pPr>
        <w:pStyle w:val="Compact"/>
        <w:numPr>
          <w:ilvl w:val="0"/>
          <w:numId w:val="1017"/>
        </w:numPr>
      </w:pPr>
      <w:r>
        <w:t xml:space="preserve">with mandatory recovery compensation,</w:t>
      </w:r>
    </w:p>
    <w:p>
      <w:pPr>
        <w:pStyle w:val="Compact"/>
        <w:numPr>
          <w:ilvl w:val="0"/>
          <w:numId w:val="1017"/>
        </w:numPr>
      </w:pPr>
      <w:r>
        <w:t xml:space="preserve">and with full traceability under DKP crisis protocols.</w:t>
      </w:r>
    </w:p>
    <w:p>
      <w:pPr>
        <w:pStyle w:val="FirstParagraph"/>
      </w:pPr>
      <w:r>
        <w:t xml:space="preserve">No exception may establish precedent.</w:t>
      </w:r>
    </w:p>
    <w:p>
      <w:r>
        <w:pict>
          <v:rect style="width:0;height:1.5pt" o:hralign="center" o:hrstd="t" o:hr="t"/>
        </w:pict>
      </w:r>
    </w:p>
    <w:bookmarkEnd w:id="27"/>
    <w:bookmarkStart w:id="28" w:name="X6a6e09f1c28b5e13caaa686b423fb0b9f67f32f"/>
    <w:p>
      <w:pPr>
        <w:pStyle w:val="Heading3"/>
      </w:pPr>
      <w:r>
        <w:t xml:space="preserve">11. Architectural Principle</w:t>
      </w:r>
    </w:p>
    <w:p>
      <w:pPr>
        <w:pStyle w:val="FirstParagraph"/>
      </w:pPr>
      <w:r>
        <w:t xml:space="preserve">This protocol establishes a three-layer human time model: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Productive 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Mandatory Recovery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Full Rest</w:t>
      </w:r>
    </w:p>
    <w:p>
      <w:pPr>
        <w:pStyle w:val="FirstParagraph"/>
      </w:pPr>
      <w:r>
        <w:t xml:space="preserve">Human recovery is treated as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, not as a personal optimization problem.</w:t>
      </w:r>
    </w:p>
    <w:p>
      <w:r>
        <w:pict>
          <v:rect style="width:0;height:1.5pt" o:hralign="center" o:hrstd="t" o:hr="t"/>
        </w:pict>
      </w:r>
    </w:p>
    <w:bookmarkEnd w:id="28"/>
    <w:bookmarkStart w:id="29" w:name="X9959dde1c766127297901a16c33669e4d428369"/>
    <w:p>
      <w:pPr>
        <w:pStyle w:val="Heading3"/>
      </w:pPr>
      <w:r>
        <w:t xml:space="preserve">12. Summary Statement</w:t>
      </w:r>
    </w:p>
    <w:p>
      <w:pPr>
        <w:pStyle w:val="FirstParagraph"/>
      </w:pPr>
      <w:r>
        <w:t xml:space="preserve">DKP-5-WORK-CYCLE-001 replaces legacy industrial work rhythms with a mathematically exact, biologically sustainable, and governance-compatible cycle.</w:t>
      </w:r>
    </w:p>
    <w:p>
      <w:pPr>
        <w:pStyle w:val="BodyText"/>
      </w:pPr>
      <w:r>
        <w:t xml:space="preserve">It ensures that:</w:t>
      </w:r>
    </w:p>
    <w:p>
      <w:pPr>
        <w:pStyle w:val="Compact"/>
        <w:numPr>
          <w:ilvl w:val="0"/>
          <w:numId w:val="1019"/>
        </w:numPr>
      </w:pPr>
      <w:r>
        <w:t xml:space="preserve">time is counted deterministically,</w:t>
      </w:r>
    </w:p>
    <w:p>
      <w:pPr>
        <w:pStyle w:val="Compact"/>
        <w:numPr>
          <w:ilvl w:val="0"/>
          <w:numId w:val="1019"/>
        </w:numPr>
      </w:pPr>
      <w:r>
        <w:t xml:space="preserve">recovery is guaranteed by design,</w:t>
      </w:r>
    </w:p>
    <w:p>
      <w:pPr>
        <w:pStyle w:val="Compact"/>
        <w:numPr>
          <w:ilvl w:val="0"/>
          <w:numId w:val="1019"/>
        </w:numPr>
      </w:pPr>
      <w:r>
        <w:t xml:space="preserve">productivity is stabilized through prevention of systemic harm,</w:t>
      </w:r>
    </w:p>
    <w:p>
      <w:pPr>
        <w:pStyle w:val="Compact"/>
        <w:numPr>
          <w:ilvl w:val="0"/>
          <w:numId w:val="1019"/>
        </w:numPr>
      </w:pPr>
      <w:r>
        <w:t xml:space="preserve">and continuous services are achieved through planning, not sacrifice.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