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kp-6-exit-001"/>
    <w:p>
      <w:pPr>
        <w:pStyle w:val="Heading1"/>
      </w:pPr>
      <w:r>
        <w:t xml:space="preserve">DKP-6-EXIT-001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Exit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DKP-6-EXIT-001 formalizes the unconditional right of any Subject, region, or jurisdiction to exit the Dikenocracy system.</w:t>
      </w:r>
    </w:p>
    <w:p>
      <w:pPr>
        <w:pStyle w:val="BodyText"/>
      </w:pPr>
      <w:r>
        <w:t xml:space="preserve">Exit is treated as a structural safety mechanism, not as defection, hostility, or failure. This protocol exists to prevent coercive lock-in, systemic capture, and irreversible dependency.</w:t>
      </w:r>
    </w:p>
    <w:p>
      <w:pPr>
        <w:pStyle w:val="BodyText"/>
      </w:pPr>
      <w:r>
        <w:t xml:space="preserve">No system claiming legitimacy may deny the right to leave.</w:t>
      </w:r>
    </w:p>
    <w:p>
      <w:pPr>
        <w:pStyle w:val="BodyText"/>
      </w:pPr>
      <w:r>
        <w:t xml:space="preserve">Exit is a right. System stability is a constraint, not a veto.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DKP-6-EXIT-001 is to:</w:t>
      </w:r>
    </w:p>
    <w:p>
      <w:pPr>
        <w:pStyle w:val="BodyText"/>
      </w:pPr>
      <w:r>
        <w:t xml:space="preserve">ensure voluntary participation in Dikenocracy at all levels,</w:t>
      </w:r>
    </w:p>
    <w:p>
      <w:pPr>
        <w:pStyle w:val="BodyText"/>
      </w:pPr>
      <w:r>
        <w:t xml:space="preserve">prevent enforcement through inescapability,</w:t>
      </w:r>
    </w:p>
    <w:p>
      <w:pPr>
        <w:pStyle w:val="BodyText"/>
      </w:pPr>
      <w:r>
        <w:t xml:space="preserve">formalize exit consequences without punitive escalation,</w:t>
      </w:r>
    </w:p>
    <w:p>
      <w:pPr>
        <w:pStyle w:val="BodyText"/>
      </w:pPr>
      <w:r>
        <w:t xml:space="preserve">guarantee reversibility of system membership,</w:t>
      </w:r>
    </w:p>
    <w:p>
      <w:pPr>
        <w:pStyle w:val="BodyText"/>
      </w:pPr>
      <w:r>
        <w:t xml:space="preserve">protect overall system stability during disengagement.</w:t>
      </w:r>
    </w:p>
    <w:p>
      <w:pPr>
        <w:pStyle w:val="BodyText"/>
      </w:pPr>
      <w:r>
        <w:t xml:space="preserve">Exit is not a sanction and not a failure signal.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DKP-6-EXIT-001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DKP-1-IDENTITY-001,</w:t>
      </w:r>
    </w:p>
    <w:p>
      <w:pPr>
        <w:pStyle w:val="BodyText"/>
      </w:pPr>
      <w:r>
        <w:t xml:space="preserve">DKP-2-FINANCE-001.</w:t>
      </w:r>
    </w:p>
    <w:p>
      <w:pPr>
        <w:pStyle w:val="BodyText"/>
      </w:pPr>
      <w:r>
        <w:t xml:space="preserve">Parallel to:</w:t>
      </w:r>
    </w:p>
    <w:p>
      <w:pPr>
        <w:pStyle w:val="BodyText"/>
      </w:pPr>
      <w:r>
        <w:t xml:space="preserve">DKP-6-INTEGRATION-001.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DKP-4-CRISIS-001 (exit during crisis handling).</w:t>
      </w:r>
    </w:p>
    <w:p>
      <w:pPr>
        <w:pStyle w:val="BodyText"/>
      </w:pPr>
      <w:r>
        <w:t xml:space="preserve">Constrained by:</w:t>
      </w:r>
    </w:p>
    <w:p>
      <w:pPr>
        <w:pStyle w:val="BodyText"/>
      </w:pPr>
      <w:r>
        <w:t xml:space="preserve">DKP-7-SCOPE-001,</w:t>
      </w:r>
    </w:p>
    <w:p>
      <w:pPr>
        <w:pStyle w:val="BodyText"/>
      </w:pPr>
      <w:r>
        <w:t xml:space="preserve">DKP-8-SIMULATION-001.</w:t>
      </w:r>
    </w:p>
    <w:p>
      <w:pPr>
        <w:pStyle w:val="BodyText"/>
      </w:pPr>
      <w:r>
        <w:t xml:space="preserve">This protocol SHALL NOT:</w:t>
      </w:r>
    </w:p>
    <w:p>
      <w:pPr>
        <w:pStyle w:val="BodyText"/>
      </w:pPr>
      <w:r>
        <w:t xml:space="preserve">prohibit exit under any circumstances,</w:t>
      </w:r>
    </w:p>
    <w:p>
      <w:pPr>
        <w:pStyle w:val="BodyText"/>
      </w:pPr>
      <w:r>
        <w:t xml:space="preserve">criminalize exit decisions,</w:t>
      </w:r>
    </w:p>
    <w:p>
      <w:pPr>
        <w:pStyle w:val="BodyText"/>
      </w:pPr>
      <w:r>
        <w:t xml:space="preserve">convert exit into a coercive tool,</w:t>
      </w:r>
    </w:p>
    <w:p>
      <w:pPr>
        <w:pStyle w:val="BodyText"/>
      </w:pPr>
      <w:r>
        <w:t xml:space="preserve">permit indefinite suspension of exit rights.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Exit A formal termination of participation in DKP governance, execution, and incentive mechanisms.</w:t>
      </w:r>
    </w:p>
    <w:p>
      <w:pPr>
        <w:pStyle w:val="BodyText"/>
      </w:pPr>
      <w:r>
        <w:t xml:space="preserve">Exiting Entity An individual, organization, region, or jurisdiction initiating exit.</w:t>
      </w:r>
    </w:p>
    <w:p>
      <w:pPr>
        <w:pStyle w:val="BodyText"/>
      </w:pPr>
      <w:r>
        <w:t xml:space="preserve">Exit Event The time-indexed execution of exit following the declared procedure.</w:t>
      </w:r>
    </w:p>
    <w:p>
      <w:pPr>
        <w:pStyle w:val="BodyText"/>
      </w:pPr>
      <w:r>
        <w:t xml:space="preserve">Cooling Period A bounded, non-punitive delay between exit declaration and execution.</w:t>
      </w:r>
    </w:p>
    <w:p>
      <w:pPr>
        <w:pStyle w:val="BodyText"/>
      </w:pPr>
      <w:r>
        <w:t xml:space="preserve">Restitution Tail Residual obligations arising exclusively from verified past actions under DKP.</w:t>
      </w:r>
    </w:p>
    <w:p>
      <w:pPr>
        <w:pStyle w:val="BodyText"/>
      </w:pPr>
      <w:r>
        <w:t xml:space="preserve">System-Critical Asset An asset or dependency whose abrupt removal would cause measurable systemic instability.</w:t>
      </w:r>
    </w:p>
    <w:p>
      <w:r>
        <w:pict>
          <v:rect style="width:0;height:1.5pt" o:hralign="center" o:hrstd="t" o:hr="t"/>
        </w:pict>
      </w:r>
    </w:p>
    <w:bookmarkEnd w:id="12"/>
    <w:bookmarkStart w:id="13" w:name="Xb4652b013e2d0b04922a3ee1e7e3ab860d95b38"/>
    <w:p>
      <w:pPr>
        <w:pStyle w:val="Heading2"/>
      </w:pPr>
      <w:r>
        <w:t xml:space="preserve">4. Right to Exit</w:t>
      </w:r>
    </w:p>
    <w:p>
      <w:pPr>
        <w:pStyle w:val="FirstParagraph"/>
      </w:pPr>
      <w:r>
        <w:t xml:space="preserve">Any Subject or jurisdiction MAY initiate exit at any time.</w:t>
      </w:r>
    </w:p>
    <w:p>
      <w:pPr>
        <w:pStyle w:val="BodyText"/>
      </w:pPr>
      <w:r>
        <w:t xml:space="preserve">Exit:</w:t>
      </w:r>
    </w:p>
    <w:p>
      <w:pPr>
        <w:pStyle w:val="BodyText"/>
      </w:pPr>
      <w:r>
        <w:t xml:space="preserve">SHALL NOT require justification, approval, or vote,</w:t>
      </w:r>
    </w:p>
    <w:p>
      <w:pPr>
        <w:pStyle w:val="BodyText"/>
      </w:pPr>
      <w:r>
        <w:t xml:space="preserve">SHALL NOT be blocked by economic status, political conflict, or crisis conditions,</w:t>
      </w:r>
    </w:p>
    <w:p>
      <w:pPr>
        <w:pStyle w:val="BodyText"/>
      </w:pPr>
      <w:r>
        <w:t xml:space="preserve">SHALL NOT be revoked or suspended.</w:t>
      </w:r>
    </w:p>
    <w:p>
      <w:pPr>
        <w:pStyle w:val="BodyText"/>
      </w:pPr>
      <w:r>
        <w:t xml:space="preserve">Exit becomes valid upon protocol-compliant declaration.</w:t>
      </w:r>
    </w:p>
    <w:p>
      <w:r>
        <w:pict>
          <v:rect style="width:0;height:1.5pt" o:hralign="center" o:hrstd="t" o:hr="t"/>
        </w:pict>
      </w:r>
    </w:p>
    <w:bookmarkEnd w:id="13"/>
    <w:bookmarkStart w:id="14" w:name="X6ccac642cc26f4aba1a8ff22e55c22b63a53673"/>
    <w:p>
      <w:pPr>
        <w:pStyle w:val="Heading2"/>
      </w:pPr>
      <w:r>
        <w:t xml:space="preserve">5. Exit Initiation</w:t>
      </w:r>
    </w:p>
    <w:p>
      <w:pPr>
        <w:pStyle w:val="FirstParagraph"/>
      </w:pPr>
      <w:r>
        <w:t xml:space="preserve">Exit initiation requires:</w:t>
      </w:r>
    </w:p>
    <w:p>
      <w:pPr>
        <w:pStyle w:val="BodyText"/>
      </w:pPr>
      <w:r>
        <w:t xml:space="preserve">a cryptographically signed declaration of exit intent,</w:t>
      </w:r>
    </w:p>
    <w:p>
      <w:pPr>
        <w:pStyle w:val="BodyText"/>
      </w:pPr>
      <w:r>
        <w:t xml:space="preserve">explicit declaration of exit scope:</w:t>
      </w:r>
    </w:p>
    <w:p>
      <w:pPr>
        <w:pStyle w:val="BodyText"/>
      </w:pPr>
      <w:r>
        <w:t xml:space="preserve">individual,</w:t>
      </w:r>
    </w:p>
    <w:p>
      <w:pPr>
        <w:pStyle w:val="BodyText"/>
      </w:pPr>
      <w:r>
        <w:t xml:space="preserve">organizational,</w:t>
      </w:r>
    </w:p>
    <w:p>
      <w:pPr>
        <w:pStyle w:val="BodyText"/>
      </w:pPr>
      <w:r>
        <w:t xml:space="preserve">regional,</w:t>
      </w:r>
    </w:p>
    <w:p>
      <w:pPr>
        <w:pStyle w:val="BodyText"/>
      </w:pPr>
      <w:r>
        <w:t xml:space="preserve">jurisdictional,</w:t>
      </w:r>
    </w:p>
    <w:p>
      <w:pPr>
        <w:pStyle w:val="BodyText"/>
      </w:pPr>
      <w:r>
        <w:t xml:space="preserve">PTL-anchored timestamp.</w:t>
      </w:r>
    </w:p>
    <w:p>
      <w:pPr>
        <w:pStyle w:val="BodyText"/>
      </w:pPr>
      <w:r>
        <w:t xml:space="preserve">No additional authorization is permitted.</w:t>
      </w:r>
    </w:p>
    <w:p>
      <w:r>
        <w:pict>
          <v:rect style="width:0;height:1.5pt" o:hralign="center" o:hrstd="t" o:hr="t"/>
        </w:pict>
      </w:r>
    </w:p>
    <w:bookmarkEnd w:id="14"/>
    <w:bookmarkStart w:id="15" w:name="X7173fc026a321c21d8b7796f1edf84cc0960836"/>
    <w:p>
      <w:pPr>
        <w:pStyle w:val="Heading2"/>
      </w:pPr>
      <w:r>
        <w:t xml:space="preserve">6. Cooling Period and Exit Friction</w:t>
      </w:r>
    </w:p>
    <w:p>
      <w:pPr>
        <w:pStyle w:val="FirstParagraph"/>
      </w:pPr>
      <w:r>
        <w:t xml:space="preserve">Exit execution occurs after a fixed cooling period, calibrated exclusively under DKP-8-SIMULATION-001.</w:t>
      </w:r>
    </w:p>
    <w:p>
      <w:pPr>
        <w:pStyle w:val="BodyText"/>
      </w:pPr>
      <w:r>
        <w:t xml:space="preserve">Purpose of Cooling Period</w:t>
      </w:r>
    </w:p>
    <w:p>
      <w:pPr>
        <w:pStyle w:val="BodyText"/>
      </w:pPr>
      <w:r>
        <w:t xml:space="preserve">The cooling period exists to:</w:t>
      </w:r>
    </w:p>
    <w:p>
      <w:pPr>
        <w:pStyle w:val="BodyText"/>
      </w:pPr>
      <w:r>
        <w:t xml:space="preserve">prevent cascading instability,</w:t>
      </w:r>
    </w:p>
    <w:p>
      <w:pPr>
        <w:pStyle w:val="BodyText"/>
      </w:pPr>
      <w:r>
        <w:t xml:space="preserve">allow settlement of restitution tails,</w:t>
      </w:r>
    </w:p>
    <w:p>
      <w:pPr>
        <w:pStyle w:val="BodyText"/>
      </w:pPr>
      <w:r>
        <w:t xml:space="preserve">enable orderly disengagement,</w:t>
      </w:r>
    </w:p>
    <w:p>
      <w:pPr>
        <w:pStyle w:val="BodyText"/>
      </w:pPr>
      <w:r>
        <w:t xml:space="preserve">protect non-exiting parties from abrupt dependency loss.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The cooling period:</w:t>
      </w:r>
    </w:p>
    <w:p>
      <w:pPr>
        <w:pStyle w:val="BodyText"/>
      </w:pPr>
      <w:r>
        <w:t xml:space="preserve">SHALL be time-bounded,</w:t>
      </w:r>
    </w:p>
    <w:p>
      <w:pPr>
        <w:pStyle w:val="BodyText"/>
      </w:pPr>
      <w:r>
        <w:t xml:space="preserve">SHALL NOT be indefinite,</w:t>
      </w:r>
    </w:p>
    <w:p>
      <w:pPr>
        <w:pStyle w:val="BodyText"/>
      </w:pPr>
      <w:r>
        <w:t xml:space="preserve">SHALL NOT escalate obligations,</w:t>
      </w:r>
    </w:p>
    <w:p>
      <w:pPr>
        <w:pStyle w:val="BodyText"/>
      </w:pPr>
      <w:r>
        <w:t xml:space="preserve">SHALL NOT restrict exit eligibility.</w:t>
      </w:r>
    </w:p>
    <w:p>
      <w:pPr>
        <w:pStyle w:val="BodyText"/>
      </w:pPr>
      <w:r>
        <w:t xml:space="preserve">Cooling period parameters MAY vary by exit scope but MUST be declared, simulated, and auditable.</w:t>
      </w:r>
    </w:p>
    <w:p>
      <w:r>
        <w:pict>
          <v:rect style="width:0;height:1.5pt" o:hralign="center" o:hrstd="t" o:hr="t"/>
        </w:pict>
      </w:r>
    </w:p>
    <w:bookmarkEnd w:id="15"/>
    <w:bookmarkStart w:id="16" w:name="X3ca4a01f2a87af00e2003ea11788dd9da8fd1db"/>
    <w:p>
      <w:pPr>
        <w:pStyle w:val="Heading2"/>
      </w:pPr>
      <w:r>
        <w:t xml:space="preserve">7. Phased Disengagement</w:t>
      </w:r>
    </w:p>
    <w:p>
      <w:pPr>
        <w:pStyle w:val="FirstParagraph"/>
      </w:pPr>
      <w:r>
        <w:t xml:space="preserve">Exit SHALL proceed through phased disengagement, not abrupt severance.</w:t>
      </w:r>
    </w:p>
    <w:p>
      <w:pPr>
        <w:pStyle w:val="BodyText"/>
      </w:pPr>
      <w:r>
        <w:t xml:space="preserve">Phases MAY include:</w:t>
      </w:r>
    </w:p>
    <w:p>
      <w:pPr>
        <w:pStyle w:val="BodyText"/>
      </w:pPr>
      <w:r>
        <w:t xml:space="preserve">governance disengagement,</w:t>
      </w:r>
    </w:p>
    <w:p>
      <w:pPr>
        <w:pStyle w:val="BodyText"/>
      </w:pPr>
      <w:r>
        <w:t xml:space="preserve">enforcement disengagement,</w:t>
      </w:r>
    </w:p>
    <w:p>
      <w:pPr>
        <w:pStyle w:val="BodyText"/>
      </w:pPr>
      <w:r>
        <w:t xml:space="preserve">financial settlement,</w:t>
      </w:r>
    </w:p>
    <w:p>
      <w:pPr>
        <w:pStyle w:val="BodyText"/>
      </w:pPr>
      <w:r>
        <w:t xml:space="preserve">data separation.</w:t>
      </w:r>
    </w:p>
    <w:p>
      <w:pPr>
        <w:pStyle w:val="BodyText"/>
      </w:pPr>
      <w:r>
        <w:t xml:space="preserve">The sequence and duration of phases MUST:</w:t>
      </w:r>
    </w:p>
    <w:p>
      <w:pPr>
        <w:pStyle w:val="BodyText"/>
      </w:pPr>
      <w:r>
        <w:t xml:space="preserve">be declared at exit initiation,</w:t>
      </w:r>
    </w:p>
    <w:p>
      <w:pPr>
        <w:pStyle w:val="BodyText"/>
      </w:pPr>
      <w:r>
        <w:t xml:space="preserve">be L8-simulated for stability,</w:t>
      </w:r>
    </w:p>
    <w:p>
      <w:pPr>
        <w:pStyle w:val="BodyText"/>
      </w:pPr>
      <w:r>
        <w:t xml:space="preserve">preserve audit continuity.</w:t>
      </w:r>
    </w:p>
    <w:p>
      <w:r>
        <w:pict>
          <v:rect style="width:0;height:1.5pt" o:hralign="center" o:hrstd="t" o:hr="t"/>
        </w:pict>
      </w:r>
    </w:p>
    <w:bookmarkEnd w:id="16"/>
    <w:bookmarkStart w:id="17" w:name="X78aec2e8fee0ec68f9d8daab031c65e72d4b249"/>
    <w:p>
      <w:pPr>
        <w:pStyle w:val="Heading2"/>
      </w:pPr>
      <w:r>
        <w:t xml:space="preserve">8. Consequences of Exit</w:t>
      </w:r>
    </w:p>
    <w:p>
      <w:pPr>
        <w:pStyle w:val="FirstParagraph"/>
      </w:pPr>
      <w:r>
        <w:t xml:space="preserve">Upon completion of exit:</w:t>
      </w:r>
    </w:p>
    <w:p>
      <w:pPr>
        <w:pStyle w:val="BodyText"/>
      </w:pPr>
      <w:r>
        <w:t xml:space="preserve">all future DKP obligations cease,</w:t>
      </w:r>
    </w:p>
    <w:p>
      <w:pPr>
        <w:pStyle w:val="BodyText"/>
      </w:pPr>
      <w:r>
        <w:t xml:space="preserve">all future DKP benefits cease,</w:t>
      </w:r>
    </w:p>
    <w:p>
      <w:pPr>
        <w:pStyle w:val="BodyText"/>
      </w:pPr>
      <w:r>
        <w:t xml:space="preserve">all governance, enforcement, and incentive mechanisms disengage.</w:t>
      </w:r>
    </w:p>
    <w:p>
      <w:pPr>
        <w:pStyle w:val="BodyText"/>
      </w:pPr>
      <w:r>
        <w:t xml:space="preserve">Exit SHALL NOT:</w:t>
      </w:r>
    </w:p>
    <w:p>
      <w:pPr>
        <w:pStyle w:val="BodyText"/>
      </w:pPr>
      <w:r>
        <w:t xml:space="preserve">annul historical responsibility,</w:t>
      </w:r>
    </w:p>
    <w:p>
      <w:pPr>
        <w:pStyle w:val="BodyText"/>
      </w:pPr>
      <w:r>
        <w:t xml:space="preserve">erase impact records,</w:t>
      </w:r>
    </w:p>
    <w:p>
      <w:pPr>
        <w:pStyle w:val="BodyText"/>
      </w:pPr>
      <w:r>
        <w:t xml:space="preserve">void verified restitution obligations.</w:t>
      </w:r>
    </w:p>
    <w:p>
      <w:r>
        <w:pict>
          <v:rect style="width:0;height:1.5pt" o:hralign="center" o:hrstd="t" o:hr="t"/>
        </w:pict>
      </w:r>
    </w:p>
    <w:bookmarkEnd w:id="17"/>
    <w:bookmarkStart w:id="18" w:name="X3e147a9490d3fd1dee4c1181baebbe766054c71"/>
    <w:p>
      <w:pPr>
        <w:pStyle w:val="Heading2"/>
      </w:pPr>
      <w:r>
        <w:t xml:space="preserve">9. Restitution Tail</w:t>
      </w:r>
    </w:p>
    <w:p>
      <w:pPr>
        <w:pStyle w:val="FirstParagraph"/>
      </w:pPr>
      <w:r>
        <w:t xml:space="preserve">Only verified liabilities incurred prior to exit declaration remain enforceable.</w:t>
      </w:r>
    </w:p>
    <w:p>
      <w:pPr>
        <w:pStyle w:val="BodyText"/>
      </w:pPr>
      <w:r>
        <w:t xml:space="preserve">Restitution is limited to:</w:t>
      </w:r>
    </w:p>
    <w:p>
      <w:pPr>
        <w:pStyle w:val="BodyText"/>
      </w:pPr>
      <w:r>
        <w:t xml:space="preserve">physically verified harm,</w:t>
      </w:r>
    </w:p>
    <w:p>
      <w:pPr>
        <w:pStyle w:val="BodyText"/>
      </w:pPr>
      <w:r>
        <w:t xml:space="preserve">contractual obligations explicitly accepted under DKP,</w:t>
      </w:r>
    </w:p>
    <w:p>
      <w:pPr>
        <w:pStyle w:val="BodyText"/>
      </w:pPr>
      <w:r>
        <w:t xml:space="preserve">unresolved impact costs measured before exit declaration.</w:t>
      </w:r>
    </w:p>
    <w:p>
      <w:pPr>
        <w:pStyle w:val="BodyText"/>
      </w:pPr>
      <w:r>
        <w:t xml:space="preserve">Restitution SHALL NOT include:</w:t>
      </w:r>
    </w:p>
    <w:p>
      <w:pPr>
        <w:pStyle w:val="BodyText"/>
      </w:pPr>
      <w:r>
        <w:t xml:space="preserve">ideological non-compliance,</w:t>
      </w:r>
    </w:p>
    <w:p>
      <w:pPr>
        <w:pStyle w:val="BodyText"/>
      </w:pPr>
      <w:r>
        <w:t xml:space="preserve">punitive or exemplary damages,</w:t>
      </w:r>
    </w:p>
    <w:p>
      <w:pPr>
        <w:pStyle w:val="BodyText"/>
      </w:pPr>
      <w:r>
        <w:t xml:space="preserve">hypothetical, projected, or speculative losses.</w:t>
      </w:r>
    </w:p>
    <w:p>
      <w:pPr>
        <w:pStyle w:val="BodyText"/>
      </w:pPr>
      <w:r>
        <w:t xml:space="preserve">No new obligations may be generated after exit declaration.</w:t>
      </w:r>
    </w:p>
    <w:p>
      <w:r>
        <w:pict>
          <v:rect style="width:0;height:1.5pt" o:hralign="center" o:hrstd="t" o:hr="t"/>
        </w:pict>
      </w:r>
    </w:p>
    <w:bookmarkEnd w:id="18"/>
    <w:bookmarkStart w:id="19" w:name="Xbd0f9655aed5c3b90c6ba9d4d20c8692e66a727"/>
    <w:p>
      <w:pPr>
        <w:pStyle w:val="Heading2"/>
      </w:pPr>
      <w:r>
        <w:t xml:space="preserve">10. System-Critical Assets and Delayed Settlement</w:t>
      </w:r>
    </w:p>
    <w:p>
      <w:pPr>
        <w:pStyle w:val="FirstParagraph"/>
      </w:pPr>
      <w:r>
        <w:t xml:space="preserve">If exit involves system-critical assets:</w:t>
      </w:r>
    </w:p>
    <w:p>
      <w:pPr>
        <w:pStyle w:val="BodyText"/>
      </w:pPr>
      <w:r>
        <w:t xml:space="preserve">immediate severance MAY be delayed,</w:t>
      </w:r>
    </w:p>
    <w:p>
      <w:pPr>
        <w:pStyle w:val="BodyText"/>
      </w:pPr>
      <w:r>
        <w:t xml:space="preserve">delayed settlement MUST be:</w:t>
      </w:r>
    </w:p>
    <w:p>
      <w:pPr>
        <w:pStyle w:val="BodyText"/>
      </w:pPr>
      <w:r>
        <w:t xml:space="preserve">time-bounded,</w:t>
      </w:r>
    </w:p>
    <w:p>
      <w:pPr>
        <w:pStyle w:val="BodyText"/>
      </w:pPr>
      <w:r>
        <w:t xml:space="preserve">compensated where applicable,</w:t>
      </w:r>
    </w:p>
    <w:p>
      <w:pPr>
        <w:pStyle w:val="BodyText"/>
      </w:pPr>
      <w:r>
        <w:t xml:space="preserve">non-punitive,</w:t>
      </w:r>
    </w:p>
    <w:p>
      <w:pPr>
        <w:pStyle w:val="BodyText"/>
      </w:pPr>
      <w:r>
        <w:t xml:space="preserve">transparently logged.</w:t>
      </w:r>
    </w:p>
    <w:p>
      <w:pPr>
        <w:pStyle w:val="BodyText"/>
      </w:pPr>
      <w:r>
        <w:t xml:space="preserve">Delayed settlement SHALL NOT:</w:t>
      </w:r>
    </w:p>
    <w:p>
      <w:pPr>
        <w:pStyle w:val="BodyText"/>
      </w:pPr>
      <w:r>
        <w:t xml:space="preserve">expand DKP authority,</w:t>
      </w:r>
    </w:p>
    <w:p>
      <w:pPr>
        <w:pStyle w:val="BodyText"/>
      </w:pPr>
      <w:r>
        <w:t xml:space="preserve">create new obligations,</w:t>
      </w:r>
    </w:p>
    <w:p>
      <w:pPr>
        <w:pStyle w:val="BodyText"/>
      </w:pPr>
      <w:r>
        <w:t xml:space="preserve">convert exit into forced participation.</w:t>
      </w:r>
    </w:p>
    <w:p>
      <w:r>
        <w:pict>
          <v:rect style="width:0;height:1.5pt" o:hralign="center" o:hrstd="t" o:hr="t"/>
        </w:pict>
      </w:r>
    </w:p>
    <w:bookmarkEnd w:id="19"/>
    <w:bookmarkStart w:id="20" w:name="Xa37ca03a82750f24a61f076effb7d6a352d51b6"/>
    <w:p>
      <w:pPr>
        <w:pStyle w:val="Heading2"/>
      </w:pPr>
      <w:r>
        <w:t xml:space="preserve">11. Exit During Crisis</w:t>
      </w:r>
    </w:p>
    <w:p>
      <w:pPr>
        <w:pStyle w:val="FirstParagraph"/>
      </w:pPr>
      <w:r>
        <w:t xml:space="preserve">Exit during a declared crisis:</w:t>
      </w:r>
    </w:p>
    <w:p>
      <w:pPr>
        <w:pStyle w:val="BodyText"/>
      </w:pPr>
      <w:r>
        <w:t xml:space="preserve">SHALL remain valid,</w:t>
      </w:r>
    </w:p>
    <w:p>
      <w:pPr>
        <w:pStyle w:val="BodyText"/>
      </w:pPr>
      <w:r>
        <w:t xml:space="preserve">SHALL NOT be nullified or prohibited.</w:t>
      </w:r>
    </w:p>
    <w:p>
      <w:pPr>
        <w:pStyle w:val="BodyText"/>
      </w:pPr>
      <w:r>
        <w:t xml:space="preserve">Temporary procedural adjustments MAY occur only to:</w:t>
      </w:r>
    </w:p>
    <w:p>
      <w:pPr>
        <w:pStyle w:val="BodyText"/>
      </w:pPr>
      <w:r>
        <w:t xml:space="preserve">prevent immediate physical harm,</w:t>
      </w:r>
    </w:p>
    <w:p>
      <w:pPr>
        <w:pStyle w:val="BodyText"/>
      </w:pPr>
      <w:r>
        <w:t xml:space="preserve">preserve minimal continuity for non-exiting parties.</w:t>
      </w:r>
    </w:p>
    <w:p>
      <w:pPr>
        <w:pStyle w:val="BodyText"/>
      </w:pPr>
      <w:r>
        <w:t xml:space="preserve">Crisis handling:</w:t>
      </w:r>
    </w:p>
    <w:p>
      <w:pPr>
        <w:pStyle w:val="BodyText"/>
      </w:pPr>
      <w:r>
        <w:t xml:space="preserve">SHALL NOT create exit precedent,</w:t>
      </w:r>
    </w:p>
    <w:p>
      <w:pPr>
        <w:pStyle w:val="BodyText"/>
      </w:pPr>
      <w:r>
        <w:t xml:space="preserve">SHALL be strictly scoped under DKP-7-SCOPE-001,</w:t>
      </w:r>
    </w:p>
    <w:p>
      <w:pPr>
        <w:pStyle w:val="BodyText"/>
      </w:pPr>
      <w:r>
        <w:t xml:space="preserve">SHALL NOT redefine exit rights.</w:t>
      </w:r>
    </w:p>
    <w:p>
      <w:r>
        <w:pict>
          <v:rect style="width:0;height:1.5pt" o:hralign="center" o:hrstd="t" o:hr="t"/>
        </w:pict>
      </w:r>
    </w:p>
    <w:bookmarkEnd w:id="20"/>
    <w:bookmarkStart w:id="21" w:name="Xb41153213e76da31d9f07c006a3719ce513a54f"/>
    <w:p>
      <w:pPr>
        <w:pStyle w:val="Heading2"/>
      </w:pPr>
      <w:r>
        <w:t xml:space="preserve">12. Asset and Data Separation</w:t>
      </w:r>
    </w:p>
    <w:p>
      <w:pPr>
        <w:pStyle w:val="FirstParagraph"/>
      </w:pPr>
      <w:r>
        <w:t xml:space="preserve">Upon exit:</w:t>
      </w:r>
    </w:p>
    <w:p>
      <w:pPr>
        <w:pStyle w:val="BodyText"/>
      </w:pPr>
      <w:r>
        <w:t xml:space="preserve">assets governed by DKP contracts are settled per DKP-2-FINANCE-001,</w:t>
      </w:r>
    </w:p>
    <w:p>
      <w:pPr>
        <w:pStyle w:val="BodyText"/>
      </w:pPr>
      <w:r>
        <w:t xml:space="preserve">personal and operational data are frozen and archived,</w:t>
      </w:r>
    </w:p>
    <w:p>
      <w:pPr>
        <w:pStyle w:val="BodyText"/>
      </w:pPr>
      <w:r>
        <w:t xml:space="preserve">no new data collection is permitted.</w:t>
      </w:r>
    </w:p>
    <w:p>
      <w:pPr>
        <w:pStyle w:val="BodyText"/>
      </w:pPr>
      <w:r>
        <w:t xml:space="preserve">Data retention is limited to:</w:t>
      </w:r>
    </w:p>
    <w:p>
      <w:pPr>
        <w:pStyle w:val="BodyText"/>
      </w:pPr>
      <w:r>
        <w:t xml:space="preserve">audit verification,</w:t>
      </w:r>
    </w:p>
    <w:p>
      <w:pPr>
        <w:pStyle w:val="BodyText"/>
      </w:pPr>
      <w:r>
        <w:t xml:space="preserve">historical continuity,</w:t>
      </w:r>
    </w:p>
    <w:p>
      <w:pPr>
        <w:pStyle w:val="BodyText"/>
      </w:pPr>
      <w:r>
        <w:t xml:space="preserve">restitution validation.</w:t>
      </w:r>
    </w:p>
    <w:p>
      <w:pPr>
        <w:pStyle w:val="BodyText"/>
      </w:pPr>
      <w:r>
        <w:t xml:space="preserve">Post-exit data use for governance, profiling, or enforcement is prohibited.</w:t>
      </w:r>
    </w:p>
    <w:p>
      <w:r>
        <w:pict>
          <v:rect style="width:0;height:1.5pt" o:hralign="center" o:hrstd="t" o:hr="t"/>
        </w:pict>
      </w:r>
    </w:p>
    <w:bookmarkEnd w:id="21"/>
    <w:bookmarkStart w:id="22" w:name="X0f2adfff7ebad1dcc0f155566ccb1f0e388dd54"/>
    <w:p>
      <w:pPr>
        <w:pStyle w:val="Heading2"/>
      </w:pPr>
      <w:r>
        <w:t xml:space="preserve">13. Re-Entry</w:t>
      </w:r>
    </w:p>
    <w:p>
      <w:pPr>
        <w:pStyle w:val="FirstParagraph"/>
      </w:pPr>
      <w:r>
        <w:t xml:space="preserve">Exited entities MAY reapply under DKP-6-INTEGRATION-001.</w:t>
      </w:r>
    </w:p>
    <w:p>
      <w:pPr>
        <w:pStyle w:val="BodyText"/>
      </w:pPr>
      <w:r>
        <w:t xml:space="preserve">Re-entry:</w:t>
      </w:r>
    </w:p>
    <w:p>
      <w:pPr>
        <w:pStyle w:val="BodyText"/>
      </w:pPr>
      <w:r>
        <w:t xml:space="preserve">SHALL NOT be penalized,</w:t>
      </w:r>
    </w:p>
    <w:p>
      <w:pPr>
        <w:pStyle w:val="BodyText"/>
      </w:pPr>
      <w:r>
        <w:t xml:space="preserve">SHALL NOT be delayed due to prior exit,</w:t>
      </w:r>
    </w:p>
    <w:p>
      <w:pPr>
        <w:pStyle w:val="BodyText"/>
      </w:pPr>
      <w:r>
        <w:t xml:space="preserve">SHALL NOT treat exit history as disqualifying.</w:t>
      </w:r>
    </w:p>
    <w:p>
      <w:pPr>
        <w:pStyle w:val="BodyText"/>
      </w:pPr>
      <w:r>
        <w:t xml:space="preserve">Outstanding restitution obligations MUST be resolved prior to re-entry.</w:t>
      </w:r>
    </w:p>
    <w:p>
      <w:r>
        <w:pict>
          <v:rect style="width:0;height:1.5pt" o:hralign="center" o:hrstd="t" o:hr="t"/>
        </w:pict>
      </w:r>
    </w:p>
    <w:bookmarkEnd w:id="22"/>
    <w:bookmarkStart w:id="23" w:name="X1aed499f42cfd7564745a3615105971c1d966dc"/>
    <w:p>
      <w:pPr>
        <w:pStyle w:val="Heading2"/>
      </w:pPr>
      <w:r>
        <w:t xml:space="preserve">14. Prohibited Practices</w:t>
      </w:r>
    </w:p>
    <w:p>
      <w:pPr>
        <w:pStyle w:val="FirstParagraph"/>
      </w:pPr>
      <w:r>
        <w:t xml:space="preserve">The following are explicitly forbidden:</w:t>
      </w:r>
    </w:p>
    <w:p>
      <w:pPr>
        <w:pStyle w:val="BodyText"/>
      </w:pPr>
      <w:r>
        <w:t xml:space="preserve">denial or obstruction of exit rights,</w:t>
      </w:r>
    </w:p>
    <w:p>
      <w:pPr>
        <w:pStyle w:val="BodyText"/>
      </w:pPr>
      <w:r>
        <w:t xml:space="preserve">collective punishment through exit,</w:t>
      </w:r>
    </w:p>
    <w:p>
      <w:pPr>
        <w:pStyle w:val="BodyText"/>
      </w:pPr>
      <w:r>
        <w:t xml:space="preserve">retaliatory sanctions beyond restitution,</w:t>
      </w:r>
    </w:p>
    <w:p>
      <w:pPr>
        <w:pStyle w:val="BodyText"/>
      </w:pPr>
      <w:r>
        <w:t xml:space="preserve">framing exit as treason, hostility, or illegitimacy,</w:t>
      </w:r>
    </w:p>
    <w:p>
      <w:pPr>
        <w:pStyle w:val="BodyText"/>
      </w:pPr>
      <w:r>
        <w:t xml:space="preserve">exit-conditioned coercion, violence, or deprivation.</w:t>
      </w:r>
    </w:p>
    <w:p>
      <w:r>
        <w:pict>
          <v:rect style="width:0;height:1.5pt" o:hralign="center" o:hrstd="t" o:hr="t"/>
        </w:pict>
      </w:r>
    </w:p>
    <w:bookmarkEnd w:id="23"/>
    <w:bookmarkStart w:id="24" w:name="X902821af79e31a1ab095f863c4542ab723605a8"/>
    <w:p>
      <w:pPr>
        <w:pStyle w:val="Heading2"/>
      </w:pPr>
      <w:r>
        <w:t xml:space="preserve">15. Scope Limitations</w:t>
      </w:r>
    </w:p>
    <w:p>
      <w:pPr>
        <w:pStyle w:val="FirstParagraph"/>
      </w:pPr>
      <w:r>
        <w:t xml:space="preserve">DKP-6-EXIT-001 SHALL NOT:</w:t>
      </w:r>
    </w:p>
    <w:p>
      <w:pPr>
        <w:pStyle w:val="BodyText"/>
      </w:pPr>
      <w:r>
        <w:t xml:space="preserve">regulate non-DKP systems post-exit,</w:t>
      </w:r>
    </w:p>
    <w:p>
      <w:pPr>
        <w:pStyle w:val="BodyText"/>
      </w:pPr>
      <w:r>
        <w:t xml:space="preserve">extend jurisdiction beyond the exit boundary,</w:t>
      </w:r>
    </w:p>
    <w:p>
      <w:pPr>
        <w:pStyle w:val="BodyText"/>
      </w:pPr>
      <w:r>
        <w:t xml:space="preserve">interfere with sovereignty after disengagement.</w:t>
      </w:r>
    </w:p>
    <w:p>
      <w:pPr>
        <w:pStyle w:val="BodyText"/>
      </w:pPr>
      <w:r>
        <w:t xml:space="preserve">DKP authority terminates at exit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Xca9d8c74503c505f152be4d9348cf69cbd3deec"/>
    <w:p>
      <w:pPr>
        <w:pStyle w:val="Heading2"/>
      </w:pPr>
      <w:r>
        <w:t xml:space="preserve">16.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with DKP-7-SCOPE-001.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