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dkp-6-integration-001"/>
    <w:p>
      <w:pPr>
        <w:pStyle w:val="Heading1"/>
      </w:pPr>
      <w:r>
        <w:t xml:space="preserve">DKP-6-INTEGRATION-001</w:t>
      </w:r>
    </w:p>
    <w:p>
      <w:pPr>
        <w:pStyle w:val="FirstParagraph"/>
      </w:pPr>
      <w:r>
        <w:rPr>
          <w:i/>
          <w:iCs/>
        </w:rPr>
        <w:t xml:space="preserve">Last updated: 2026-10-04</w:t>
      </w:r>
    </w:p>
    <w:p>
      <w:pPr>
        <w:pStyle w:val="BodyText"/>
      </w:pPr>
      <w:r>
        <w:t xml:space="preserve">Integration Protocol</w:t>
      </w:r>
    </w:p>
    <w:p>
      <w:r>
        <w:pict>
          <v:rect style="width:0;height:1.5pt" o:hralign="center" o:hrstd="t" o:hr="t"/>
        </w:pict>
      </w:r>
    </w:p>
    <w:bookmarkStart w:id="9" w:name="X7a23a5f07c5edab015cfb0f255e1ff30e4ba5c5"/>
    <w:p>
      <w:pPr>
        <w:pStyle w:val="Heading2"/>
      </w:pPr>
      <w:r>
        <w:t xml:space="preserve">0. Preamble</w:t>
      </w:r>
    </w:p>
    <w:p>
      <w:pPr>
        <w:pStyle w:val="FirstParagraph"/>
      </w:pPr>
      <w:r>
        <w:t xml:space="preserve">DKP-6-INTEGRATION-001 defines the conditions, phases, and safeguards for onboarding countries, regions, cities, or sovereign jurisdictions into the Dikenocracy system.</w:t>
      </w:r>
    </w:p>
    <w:p>
      <w:pPr>
        <w:pStyle w:val="BodyText"/>
      </w:pPr>
      <w:r>
        <w:t xml:space="preserve">Integration is designed to expand applicability without inducing economic shock, social destabilization, governance discontinuity, or Physical Truth degradation.</w:t>
      </w:r>
    </w:p>
    <w:p>
      <w:pPr>
        <w:pStyle w:val="BodyText"/>
      </w:pPr>
      <w:r>
        <w:t xml:space="preserve">Integration is voluntary, controlled, phased, and reversible by design. Participation in Dikenocracy is not compelled and not presumed.</w:t>
      </w:r>
    </w:p>
    <w:p>
      <w:pPr>
        <w:pStyle w:val="BodyText"/>
      </w:pPr>
      <w:r>
        <w:t xml:space="preserve">This protocol exists to prevent:</w:t>
      </w:r>
    </w:p>
    <w:p>
      <w:pPr>
        <w:pStyle w:val="BodyText"/>
      </w:pPr>
      <w:r>
        <w:t xml:space="preserve">financial or social collapse during onboarding,</w:t>
      </w:r>
    </w:p>
    <w:p>
      <w:pPr>
        <w:pStyle w:val="BodyText"/>
      </w:pPr>
      <w:r>
        <w:t xml:space="preserve">forced convergence of legal or cultural systems,</w:t>
      </w:r>
    </w:p>
    <w:p>
      <w:pPr>
        <w:pStyle w:val="BodyText"/>
      </w:pPr>
      <w:r>
        <w:t xml:space="preserve">import of unverified data or corrupted metrics,</w:t>
      </w:r>
    </w:p>
    <w:p>
      <w:pPr>
        <w:pStyle w:val="BodyText"/>
      </w:pPr>
      <w:r>
        <w:t xml:space="preserve">expansion of DKP authority beyond validated scope.</w:t>
      </w:r>
    </w:p>
    <w:p>
      <w:pPr>
        <w:pStyle w:val="BodyText"/>
      </w:pPr>
      <w:r>
        <w:t xml:space="preserve">Integration is not accession by decree. It is a process of validated compatibility.</w:t>
      </w:r>
    </w:p>
    <w:p>
      <w:r>
        <w:pict>
          <v:rect style="width:0;height:1.5pt" o:hralign="center" o:hrstd="t" o:hr="t"/>
        </w:pict>
      </w:r>
    </w:p>
    <w:bookmarkEnd w:id="9"/>
    <w:bookmarkStart w:id="10" w:name="Xe656c7b6450ec476f453091ff6f524ec7bd654f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The purpose of DKP-6-INTEGRATION-001 is to:</w:t>
      </w:r>
    </w:p>
    <w:p>
      <w:pPr>
        <w:pStyle w:val="BodyText"/>
      </w:pPr>
      <w:r>
        <w:t xml:space="preserve">define a phased integration mechanism with explicit entry and exit criteria,</w:t>
      </w:r>
    </w:p>
    <w:p>
      <w:pPr>
        <w:pStyle w:val="BodyText"/>
      </w:pPr>
      <w:r>
        <w:t xml:space="preserve">ensure continuity of Physical Truth and data integrity,</w:t>
      </w:r>
    </w:p>
    <w:p>
      <w:pPr>
        <w:pStyle w:val="BodyText"/>
      </w:pPr>
      <w:r>
        <w:t xml:space="preserve">protect existing DKP participants from imported systemic risk,</w:t>
      </w:r>
    </w:p>
    <w:p>
      <w:pPr>
        <w:pStyle w:val="BodyText"/>
      </w:pPr>
      <w:r>
        <w:t xml:space="preserve">protect integrating entities from abrupt protocol enforcement,</w:t>
      </w:r>
    </w:p>
    <w:p>
      <w:pPr>
        <w:pStyle w:val="BodyText"/>
      </w:pPr>
      <w:r>
        <w:t xml:space="preserve">guarantee reversibility and rollback during early integration stages.</w:t>
      </w:r>
    </w:p>
    <w:p>
      <w:pPr>
        <w:pStyle w:val="BodyText"/>
      </w:pPr>
      <w:r>
        <w:t xml:space="preserve">Integration success is defined by stable coexistence, not speed.</w:t>
      </w:r>
    </w:p>
    <w:p>
      <w:r>
        <w:pict>
          <v:rect style="width:0;height:1.5pt" o:hralign="center" o:hrstd="t" o:hr="t"/>
        </w:pict>
      </w:r>
    </w:p>
    <w:bookmarkEnd w:id="10"/>
    <w:bookmarkStart w:id="11" w:name="Xa3317ba21fa978274b1e9d4e4eff2aa3d4f65fa"/>
    <w:p>
      <w:pPr>
        <w:pStyle w:val="Heading2"/>
      </w:pPr>
      <w:r>
        <w:t xml:space="preserve">2. System Position</w:t>
      </w:r>
    </w:p>
    <w:p>
      <w:pPr>
        <w:pStyle w:val="FirstParagraph"/>
      </w:pPr>
      <w:r>
        <w:t xml:space="preserve">DKP-6-INTEGRATION-001 operates:</w:t>
      </w:r>
    </w:p>
    <w:p>
      <w:pPr>
        <w:pStyle w:val="BodyText"/>
      </w:pPr>
      <w:r>
        <w:t xml:space="preserve">Downstream of:</w:t>
      </w:r>
    </w:p>
    <w:p>
      <w:pPr>
        <w:pStyle w:val="BodyText"/>
      </w:pPr>
      <w:r>
        <w:t xml:space="preserve">DKP-0-ORACLE-001 (Physical Truth Layer),</w:t>
      </w:r>
    </w:p>
    <w:p>
      <w:pPr>
        <w:pStyle w:val="BodyText"/>
      </w:pPr>
      <w:r>
        <w:t xml:space="preserve">DKP-1-AXIOMS-001,</w:t>
      </w:r>
    </w:p>
    <w:p>
      <w:pPr>
        <w:pStyle w:val="BodyText"/>
      </w:pPr>
      <w:r>
        <w:t xml:space="preserve">DKP-7-SCOPE-001.</w:t>
      </w:r>
    </w:p>
    <w:p>
      <w:pPr>
        <w:pStyle w:val="BodyText"/>
      </w:pPr>
      <w:r>
        <w:t xml:space="preserve">Upstream of:</w:t>
      </w:r>
    </w:p>
    <w:p>
      <w:pPr>
        <w:pStyle w:val="BodyText"/>
      </w:pPr>
      <w:r>
        <w:t xml:space="preserve">DKP-6-EXIT-001,</w:t>
      </w:r>
    </w:p>
    <w:p>
      <w:pPr>
        <w:pStyle w:val="BodyText"/>
      </w:pPr>
      <w:r>
        <w:t xml:space="preserve">all L5 sector protocols applied to new regions.</w:t>
      </w:r>
    </w:p>
    <w:p>
      <w:pPr>
        <w:pStyle w:val="BodyText"/>
      </w:pPr>
      <w:r>
        <w:t xml:space="preserve">This protocol SHALL NOT:</w:t>
      </w:r>
    </w:p>
    <w:p>
      <w:pPr>
        <w:pStyle w:val="BodyText"/>
      </w:pPr>
      <w:r>
        <w:t xml:space="preserve">force adoption of DKP,</w:t>
      </w:r>
    </w:p>
    <w:p>
      <w:pPr>
        <w:pStyle w:val="BodyText"/>
      </w:pPr>
      <w:r>
        <w:t xml:space="preserve">override existing legal systems during transition,</w:t>
      </w:r>
    </w:p>
    <w:p>
      <w:pPr>
        <w:pStyle w:val="BodyText"/>
      </w:pPr>
      <w:r>
        <w:t xml:space="preserve">impose cultural or ideological alignment,</w:t>
      </w:r>
    </w:p>
    <w:p>
      <w:pPr>
        <w:pStyle w:val="BodyText"/>
      </w:pPr>
      <w:r>
        <w:t xml:space="preserve">expand DKP authority beyond the declared integration phase.</w:t>
      </w:r>
    </w:p>
    <w:p>
      <w:r>
        <w:pict>
          <v:rect style="width:0;height:1.5pt" o:hralign="center" o:hrstd="t" o:hr="t"/>
        </w:pict>
      </w:r>
    </w:p>
    <w:bookmarkEnd w:id="11"/>
    <w:bookmarkStart w:id="12" w:name="X827e3c612a19f15795b613412f35095dbdac148"/>
    <w:p>
      <w:pPr>
        <w:pStyle w:val="Heading2"/>
      </w:pPr>
      <w:r>
        <w:t xml:space="preserve">3. Definitions</w:t>
      </w:r>
    </w:p>
    <w:p>
      <w:pPr>
        <w:pStyle w:val="FirstParagraph"/>
      </w:pPr>
      <w:r>
        <w:t xml:space="preserve">Integrating Entity A country, region, city, or jurisdiction applying to enter DKP.</w:t>
      </w:r>
    </w:p>
    <w:p>
      <w:pPr>
        <w:pStyle w:val="BodyText"/>
      </w:pPr>
      <w:r>
        <w:t xml:space="preserve">Integration Phase A bounded stage with explicitly defined rights, obligations, scope, and reversibility.</w:t>
      </w:r>
    </w:p>
    <w:p>
      <w:pPr>
        <w:pStyle w:val="BodyText"/>
      </w:pPr>
      <w:r>
        <w:t xml:space="preserve">Shadow Mode A non-enforcing observational state in which DKP ingests and analyzes data without producing legal, economic, or administrative effects.</w:t>
      </w:r>
    </w:p>
    <w:p>
      <w:pPr>
        <w:pStyle w:val="BodyText"/>
      </w:pPr>
      <w:r>
        <w:t xml:space="preserve">Compatibility Metrics PTL-anchored indicators used to assess readiness for phase progression.</w:t>
      </w:r>
    </w:p>
    <w:p>
      <w:pPr>
        <w:pStyle w:val="BodyText"/>
      </w:pPr>
      <w:r>
        <w:t xml:space="preserve">Integration Shock A measurable destabilization causally linked to DKP activation.</w:t>
      </w:r>
    </w:p>
    <w:p>
      <w:pPr>
        <w:pStyle w:val="BodyText"/>
      </w:pPr>
      <w:r>
        <w:t xml:space="preserve">Rollback A controlled reversion to a prior integration phase with declared scope and cost.</w:t>
      </w:r>
    </w:p>
    <w:p>
      <w:r>
        <w:pict>
          <v:rect style="width:0;height:1.5pt" o:hralign="center" o:hrstd="t" o:hr="t"/>
        </w:pict>
      </w:r>
    </w:p>
    <w:bookmarkEnd w:id="12"/>
    <w:bookmarkStart w:id="13" w:name="Xf956d5d42d981d070e47eca36277541fd8e8bf4"/>
    <w:p>
      <w:pPr>
        <w:pStyle w:val="Heading2"/>
      </w:pPr>
      <w:r>
        <w:t xml:space="preserve">4. Core Principles</w:t>
      </w:r>
    </w:p>
    <w:p>
      <w:pPr>
        <w:pStyle w:val="FirstParagraph"/>
      </w:pPr>
      <w:r>
        <w:t xml:space="preserve">4.1 Voluntary Entry</w:t>
      </w:r>
    </w:p>
    <w:p>
      <w:pPr>
        <w:pStyle w:val="BodyText"/>
      </w:pPr>
      <w:r>
        <w:t xml:space="preserve">No entity may be integrated without explicit, auditable consent.</w:t>
      </w:r>
    </w:p>
    <w:p>
      <w:pPr>
        <w:pStyle w:val="BodyText"/>
      </w:pPr>
      <w:r>
        <w:t xml:space="preserve">Consent mechanisms MAY include:</w:t>
      </w:r>
    </w:p>
    <w:p>
      <w:pPr>
        <w:pStyle w:val="BodyText"/>
      </w:pPr>
      <w:r>
        <w:t xml:space="preserve">referenda,</w:t>
      </w:r>
    </w:p>
    <w:p>
      <w:pPr>
        <w:pStyle w:val="BodyText"/>
      </w:pPr>
      <w:r>
        <w:t xml:space="preserve">charter ratification,</w:t>
      </w:r>
    </w:p>
    <w:p>
      <w:pPr>
        <w:pStyle w:val="BodyText"/>
      </w:pPr>
      <w:r>
        <w:t xml:space="preserve">legislative acts,</w:t>
      </w:r>
    </w:p>
    <w:p>
      <w:pPr>
        <w:pStyle w:val="BodyText"/>
      </w:pPr>
      <w:r>
        <w:t xml:space="preserve">equivalent sovereign procedures.</w:t>
      </w:r>
    </w:p>
    <w:p>
      <w:pPr>
        <w:pStyle w:val="BodyText"/>
      </w:pPr>
      <w:r>
        <w:t xml:space="preserve">Implicit or coerced consent is invalid.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4.2 Phased Integration</w:t>
      </w:r>
    </w:p>
    <w:p>
      <w:pPr>
        <w:pStyle w:val="BodyText"/>
      </w:pPr>
      <w:r>
        <w:t xml:space="preserve">Integration SHALL occur through sequential phases.</w:t>
      </w:r>
    </w:p>
    <w:p>
      <w:pPr>
        <w:pStyle w:val="BodyText"/>
      </w:pPr>
      <w:r>
        <w:t xml:space="preserve">No phase may be skipped.</w:t>
      </w:r>
    </w:p>
    <w:p>
      <w:pPr>
        <w:pStyle w:val="BodyText"/>
      </w:pPr>
      <w:r>
        <w:t xml:space="preserve">No phase progression is automatic.</w:t>
      </w:r>
    </w:p>
    <w:p>
      <w:pPr>
        <w:pStyle w:val="BodyText"/>
      </w:pPr>
      <w:r>
        <w:t xml:space="preserve">Each phase requires explicit entry and exit validation.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4.3 Reversibility</w:t>
      </w:r>
    </w:p>
    <w:p>
      <w:pPr>
        <w:pStyle w:val="BodyText"/>
      </w:pPr>
      <w:r>
        <w:t xml:space="preserve">Early integration phases SHALL be fully reversible without punitive consequences.</w:t>
      </w:r>
    </w:p>
    <w:p>
      <w:pPr>
        <w:pStyle w:val="BodyText"/>
      </w:pPr>
      <w:r>
        <w:t xml:space="preserve">Reversibility is a hard requirement until Full Integration is reached.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4.4 Scope Containment</w:t>
      </w:r>
    </w:p>
    <w:p>
      <w:pPr>
        <w:pStyle w:val="BodyText"/>
      </w:pPr>
      <w:r>
        <w:t xml:space="preserve">During integration, DKP applicability SHALL be strictly limited to the declared phase scope.</w:t>
      </w:r>
    </w:p>
    <w:p>
      <w:pPr>
        <w:pStyle w:val="BodyText"/>
      </w:pPr>
      <w:r>
        <w:t xml:space="preserve">No implicit extension of authority, enforcement, or dependency is permitted.</w:t>
      </w:r>
    </w:p>
    <w:p>
      <w:r>
        <w:pict>
          <v:rect style="width:0;height:1.5pt" o:hralign="center" o:hrstd="t" o:hr="t"/>
        </w:pict>
      </w:r>
    </w:p>
    <w:bookmarkEnd w:id="13"/>
    <w:bookmarkStart w:id="14" w:name="X4736b62e45e70b677acf15ccffefa5d1fa949c3"/>
    <w:p>
      <w:pPr>
        <w:pStyle w:val="Heading2"/>
      </w:pPr>
      <w:r>
        <w:t xml:space="preserve">5. Integration Phases</w:t>
      </w:r>
    </w:p>
    <w:p>
      <w:pPr>
        <w:pStyle w:val="FirstParagraph"/>
      </w:pPr>
      <w:r>
        <w:t xml:space="preserve">5.1 Phase 0 — Observation (Shadow Mode)</w:t>
      </w:r>
    </w:p>
    <w:p>
      <w:pPr>
        <w:pStyle w:val="BodyText"/>
      </w:pPr>
      <w:r>
        <w:t xml:space="preserve">Description DKP systems ingest data in read-only mode.</w:t>
      </w:r>
    </w:p>
    <w:p>
      <w:pPr>
        <w:pStyle w:val="BodyText"/>
      </w:pPr>
      <w:r>
        <w:t xml:space="preserve">Characteristics</w:t>
      </w:r>
    </w:p>
    <w:p>
      <w:pPr>
        <w:pStyle w:val="BodyText"/>
      </w:pPr>
      <w:r>
        <w:t xml:space="preserve">No enforcement, incentives, or penalties,</w:t>
      </w:r>
    </w:p>
    <w:p>
      <w:pPr>
        <w:pStyle w:val="BodyText"/>
      </w:pPr>
      <w:r>
        <w:t xml:space="preserve">No legal, economic, or administrative effects,</w:t>
      </w:r>
    </w:p>
    <w:p>
      <w:pPr>
        <w:pStyle w:val="BodyText"/>
      </w:pPr>
      <w:r>
        <w:t xml:space="preserve">PTL compatibility and data quality assessment only.</w:t>
      </w:r>
    </w:p>
    <w:p>
      <w:pPr>
        <w:pStyle w:val="BodyText"/>
      </w:pPr>
      <w:r>
        <w:t xml:space="preserve">Entry Conditions</w:t>
      </w:r>
    </w:p>
    <w:p>
      <w:pPr>
        <w:pStyle w:val="BodyText"/>
      </w:pPr>
      <w:r>
        <w:t xml:space="preserve">Valid consent declaration,</w:t>
      </w:r>
    </w:p>
    <w:p>
      <w:pPr>
        <w:pStyle w:val="BodyText"/>
      </w:pPr>
      <w:r>
        <w:t xml:space="preserve">PTL data access agreement.</w:t>
      </w:r>
    </w:p>
    <w:p>
      <w:pPr>
        <w:pStyle w:val="BodyText"/>
      </w:pPr>
      <w:r>
        <w:t xml:space="preserve">Exit Conditions</w:t>
      </w:r>
    </w:p>
    <w:p>
      <w:pPr>
        <w:pStyle w:val="BodyText"/>
      </w:pPr>
      <w:r>
        <w:t xml:space="preserve">Voluntary withdrawal, or</w:t>
      </w:r>
    </w:p>
    <w:p>
      <w:pPr>
        <w:pStyle w:val="BodyText"/>
      </w:pPr>
      <w:r>
        <w:t xml:space="preserve">Successful completion of data integrity and coverage checks.</w:t>
      </w:r>
    </w:p>
    <w:p>
      <w:pPr>
        <w:pStyle w:val="BodyText"/>
      </w:pPr>
      <w:r>
        <w:t xml:space="preserve">Notes Shadow Mode does not constitute compatibility proof. It establishes observability only.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5.2 Phase 1 — Partial Interface</w:t>
      </w:r>
    </w:p>
    <w:p>
      <w:pPr>
        <w:pStyle w:val="BodyText"/>
      </w:pPr>
      <w:r>
        <w:t xml:space="preserve">Description Selected DKP modules MAY operate in advisory or opt-in mode.</w:t>
      </w:r>
    </w:p>
    <w:p>
      <w:pPr>
        <w:pStyle w:val="BodyText"/>
      </w:pPr>
      <w:r>
        <w:t xml:space="preserve">Characteristics</w:t>
      </w:r>
    </w:p>
    <w:p>
      <w:pPr>
        <w:pStyle w:val="BodyText"/>
      </w:pPr>
      <w:r>
        <w:t xml:space="preserve">No sanctions, kill switches, or automatic enforcement,</w:t>
      </w:r>
    </w:p>
    <w:p>
      <w:pPr>
        <w:pStyle w:val="BodyText"/>
      </w:pPr>
      <w:r>
        <w:t xml:space="preserve">Local economic and legal systems remain fully sovereign.</w:t>
      </w:r>
    </w:p>
    <w:p>
      <w:pPr>
        <w:pStyle w:val="BodyText"/>
      </w:pPr>
      <w:r>
        <w:t xml:space="preserve">Entry Conditions</w:t>
      </w:r>
    </w:p>
    <w:p>
      <w:pPr>
        <w:pStyle w:val="BodyText"/>
      </w:pPr>
      <w:r>
        <w:t xml:space="preserve">Successful Phase 0 completion,</w:t>
      </w:r>
    </w:p>
    <w:p>
      <w:pPr>
        <w:pStyle w:val="BodyText"/>
      </w:pPr>
      <w:r>
        <w:t xml:space="preserve">L8-simulated interface stability,</w:t>
      </w:r>
    </w:p>
    <w:p>
      <w:pPr>
        <w:pStyle w:val="BodyText"/>
      </w:pPr>
      <w:r>
        <w:t xml:space="preserve">Declared scope of application.</w:t>
      </w:r>
    </w:p>
    <w:p>
      <w:pPr>
        <w:pStyle w:val="BodyText"/>
      </w:pPr>
      <w:r>
        <w:t xml:space="preserve">Exit Conditions</w:t>
      </w:r>
    </w:p>
    <w:p>
      <w:pPr>
        <w:pStyle w:val="BodyText"/>
      </w:pPr>
      <w:r>
        <w:t xml:space="preserve">Voluntary rollback to Phase 0, or</w:t>
      </w:r>
    </w:p>
    <w:p>
      <w:pPr>
        <w:pStyle w:val="BodyText"/>
      </w:pPr>
      <w:r>
        <w:t xml:space="preserve">Verified operational stability within declared scope.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5.3 Phase 2 — Conditional Integration</w:t>
      </w:r>
    </w:p>
    <w:p>
      <w:pPr>
        <w:pStyle w:val="BodyText"/>
      </w:pPr>
      <w:r>
        <w:t xml:space="preserve">Description Defined DKP protocols become enforceable within limited domains.</w:t>
      </w:r>
    </w:p>
    <w:p>
      <w:pPr>
        <w:pStyle w:val="BodyText"/>
      </w:pPr>
      <w:r>
        <w:t xml:space="preserve">Characteristics</w:t>
      </w:r>
    </w:p>
    <w:p>
      <w:pPr>
        <w:pStyle w:val="BodyText"/>
      </w:pPr>
      <w:r>
        <w:t xml:space="preserve">Enforceability is scope-bound and time-bound,</w:t>
      </w:r>
    </w:p>
    <w:p>
      <w:pPr>
        <w:pStyle w:val="BodyText"/>
      </w:pPr>
      <w:r>
        <w:t xml:space="preserve">Peace Staking and Physical Truth compliance MAY activate.</w:t>
      </w:r>
    </w:p>
    <w:p>
      <w:pPr>
        <w:pStyle w:val="BodyText"/>
      </w:pPr>
      <w:r>
        <w:t xml:space="preserve">Entry Conditions</w:t>
      </w:r>
    </w:p>
    <w:p>
      <w:pPr>
        <w:pStyle w:val="BodyText"/>
      </w:pPr>
      <w:r>
        <w:t xml:space="preserve">Successful Phase 1 completion,</w:t>
      </w:r>
    </w:p>
    <w:p>
      <w:pPr>
        <w:pStyle w:val="BodyText"/>
      </w:pPr>
      <w:r>
        <w:t xml:space="preserve">DKP-8-SIMULATION-001 stress-test clearance,</w:t>
      </w:r>
    </w:p>
    <w:p>
      <w:pPr>
        <w:pStyle w:val="BodyText"/>
      </w:pPr>
      <w:r>
        <w:t xml:space="preserve">Explicit declaration of enforceable domains.</w:t>
      </w:r>
    </w:p>
    <w:p>
      <w:pPr>
        <w:pStyle w:val="BodyText"/>
      </w:pPr>
      <w:r>
        <w:t xml:space="preserve">Exit Conditions</w:t>
      </w:r>
    </w:p>
    <w:p>
      <w:pPr>
        <w:pStyle w:val="BodyText"/>
      </w:pPr>
      <w:r>
        <w:t xml:space="preserve">Exit under DKP-6-EXIT-001 without punitive consequences,</w:t>
      </w:r>
    </w:p>
    <w:p>
      <w:pPr>
        <w:pStyle w:val="BodyText"/>
      </w:pPr>
      <w:r>
        <w:t xml:space="preserve">Rollback to Phase 1 if shock indicators appear.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5.4 Phase 3 — Full Integration</w:t>
      </w:r>
    </w:p>
    <w:p>
      <w:pPr>
        <w:pStyle w:val="BodyText"/>
      </w:pPr>
      <w:r>
        <w:t xml:space="preserve">Description All applicable DKP protocols apply within declared scope.</w:t>
      </w:r>
    </w:p>
    <w:p>
      <w:pPr>
        <w:pStyle w:val="BodyText"/>
      </w:pPr>
      <w:r>
        <w:t xml:space="preserve">Characteristics</w:t>
      </w:r>
    </w:p>
    <w:p>
      <w:pPr>
        <w:pStyle w:val="BodyText"/>
      </w:pPr>
      <w:r>
        <w:t xml:space="preserve">Full rights and obligations are active,</w:t>
      </w:r>
    </w:p>
    <w:p>
      <w:pPr>
        <w:pStyle w:val="BodyText"/>
      </w:pPr>
      <w:r>
        <w:t xml:space="preserve">Exit conditions transition to standard DKP-6-EXIT-001 rules.</w:t>
      </w:r>
    </w:p>
    <w:p>
      <w:pPr>
        <w:pStyle w:val="BodyText"/>
      </w:pPr>
      <w:r>
        <w:t xml:space="preserve">Entry Conditions</w:t>
      </w:r>
    </w:p>
    <w:p>
      <w:pPr>
        <w:pStyle w:val="BodyText"/>
      </w:pPr>
      <w:r>
        <w:t xml:space="preserve">Demonstrated long-term stability in Phase 2,</w:t>
      </w:r>
    </w:p>
    <w:p>
      <w:pPr>
        <w:pStyle w:val="BodyText"/>
      </w:pPr>
      <w:r>
        <w:t xml:space="preserve">Absence of unresolved systemic risk,</w:t>
      </w:r>
    </w:p>
    <w:p>
      <w:pPr>
        <w:pStyle w:val="BodyText"/>
      </w:pPr>
      <w:r>
        <w:t xml:space="preserve">Final consent reaffirmation.</w:t>
      </w:r>
    </w:p>
    <w:p>
      <w:r>
        <w:pict>
          <v:rect style="width:0;height:1.5pt" o:hralign="center" o:hrstd="t" o:hr="t"/>
        </w:pict>
      </w:r>
    </w:p>
    <w:bookmarkEnd w:id="14"/>
    <w:bookmarkStart w:id="15" w:name="X9f715628d72998eb044b2ebe1593e5fda365b41"/>
    <w:p>
      <w:pPr>
        <w:pStyle w:val="Heading2"/>
      </w:pPr>
      <w:r>
        <w:t xml:space="preserve">6. Compatibility Assessment</w:t>
      </w:r>
    </w:p>
    <w:p>
      <w:pPr>
        <w:pStyle w:val="FirstParagraph"/>
      </w:pPr>
      <w:r>
        <w:t xml:space="preserve">Progression between phases requires verification of:</w:t>
      </w:r>
    </w:p>
    <w:p>
      <w:pPr>
        <w:pStyle w:val="BodyText"/>
      </w:pPr>
      <w:r>
        <w:t xml:space="preserve">PTL data integrity and coverage,</w:t>
      </w:r>
    </w:p>
    <w:p>
      <w:pPr>
        <w:pStyle w:val="BodyText"/>
      </w:pPr>
      <w:r>
        <w:t xml:space="preserve">absence of systemic manipulation,</w:t>
      </w:r>
    </w:p>
    <w:p>
      <w:pPr>
        <w:pStyle w:val="BodyText"/>
      </w:pPr>
      <w:r>
        <w:t xml:space="preserve">minimum biosphere and safety thresholds,</w:t>
      </w:r>
    </w:p>
    <w:p>
      <w:pPr>
        <w:pStyle w:val="BodyText"/>
      </w:pPr>
      <w:r>
        <w:t xml:space="preserve">administrative and technical capacity.</w:t>
      </w:r>
    </w:p>
    <w:p>
      <w:pPr>
        <w:pStyle w:val="BodyText"/>
      </w:pPr>
      <w:r>
        <w:t xml:space="preserve">Assessment relies exclusively on:</w:t>
      </w:r>
    </w:p>
    <w:p>
      <w:pPr>
        <w:pStyle w:val="BodyText"/>
      </w:pPr>
      <w:r>
        <w:t xml:space="preserve">PTL outputs,</w:t>
      </w:r>
    </w:p>
    <w:p>
      <w:pPr>
        <w:pStyle w:val="BodyText"/>
      </w:pPr>
      <w:r>
        <w:t xml:space="preserve">reproducible metrics,</w:t>
      </w:r>
    </w:p>
    <w:p>
      <w:pPr>
        <w:pStyle w:val="BodyText"/>
      </w:pPr>
      <w:r>
        <w:t xml:space="preserve">DKP-8-SIMULATION-001 stress testing.</w:t>
      </w:r>
    </w:p>
    <w:p>
      <w:r>
        <w:pict>
          <v:rect style="width:0;height:1.5pt" o:hralign="center" o:hrstd="t" o:hr="t"/>
        </w:pict>
      </w:r>
    </w:p>
    <w:bookmarkEnd w:id="15"/>
    <w:bookmarkStart w:id="16" w:name="Xe88e1a0c0a2d36765f386687bbe5f254404cd18"/>
    <w:p>
      <w:pPr>
        <w:pStyle w:val="Heading2"/>
      </w:pPr>
      <w:r>
        <w:t xml:space="preserve">7. Shock Prevention and Rollback</w:t>
      </w:r>
    </w:p>
    <w:p>
      <w:pPr>
        <w:pStyle w:val="FirstParagraph"/>
      </w:pPr>
      <w:r>
        <w:t xml:space="preserve">If Integration Shock indicators are detected:</w:t>
      </w:r>
    </w:p>
    <w:p>
      <w:pPr>
        <w:pStyle w:val="BodyText"/>
      </w:pPr>
      <w:r>
        <w:t xml:space="preserve">phase progression SHALL halt automatically,</w:t>
      </w:r>
    </w:p>
    <w:p>
      <w:pPr>
        <w:pStyle w:val="BodyText"/>
      </w:pPr>
      <w:r>
        <w:t xml:space="preserve">active enforcement SHALL be suspended,</w:t>
      </w:r>
    </w:p>
    <w:p>
      <w:pPr>
        <w:pStyle w:val="BodyText"/>
      </w:pPr>
      <w:r>
        <w:t xml:space="preserve">rollback to the previous phase MAY be triggered.</w:t>
      </w:r>
    </w:p>
    <w:p>
      <w:pPr>
        <w:pStyle w:val="BodyText"/>
      </w:pPr>
      <w:r>
        <w:t xml:space="preserve">Shock Indicators Include:</w:t>
      </w:r>
    </w:p>
    <w:p>
      <w:pPr>
        <w:pStyle w:val="BodyText"/>
      </w:pPr>
      <w:r>
        <w:t xml:space="preserve">sudden welfare collapse,</w:t>
      </w:r>
    </w:p>
    <w:p>
      <w:pPr>
        <w:pStyle w:val="BodyText"/>
      </w:pPr>
      <w:r>
        <w:t xml:space="preserve">financial instability beyond modeled bounds,</w:t>
      </w:r>
    </w:p>
    <w:p>
      <w:pPr>
        <w:pStyle w:val="BodyText"/>
      </w:pPr>
      <w:r>
        <w:t xml:space="preserve">accelerated biospheric degradation,</w:t>
      </w:r>
    </w:p>
    <w:p>
      <w:pPr>
        <w:pStyle w:val="BodyText"/>
      </w:pPr>
      <w:r>
        <w:t xml:space="preserve">systemic unrest causally linked to protocol activation.</w:t>
      </w:r>
    </w:p>
    <w:p>
      <w:pPr>
        <w:pStyle w:val="BodyText"/>
      </w:pPr>
      <w:r>
        <w:t xml:space="preserve">Rollback Rules</w:t>
      </w:r>
    </w:p>
    <w:p>
      <w:pPr>
        <w:pStyle w:val="BodyText"/>
      </w:pPr>
      <w:r>
        <w:t xml:space="preserve">rollback scope MUST be declared,</w:t>
      </w:r>
    </w:p>
    <w:p>
      <w:pPr>
        <w:pStyle w:val="BodyText"/>
      </w:pPr>
      <w:r>
        <w:t xml:space="preserve">rollback costs MUST be logged,</w:t>
      </w:r>
    </w:p>
    <w:p>
      <w:pPr>
        <w:pStyle w:val="BodyText"/>
      </w:pPr>
      <w:r>
        <w:t xml:space="preserve">rollback SHALL preserve data continuity and audit trails.</w:t>
      </w:r>
    </w:p>
    <w:p>
      <w:r>
        <w:pict>
          <v:rect style="width:0;height:1.5pt" o:hralign="center" o:hrstd="t" o:hr="t"/>
        </w:pict>
      </w:r>
    </w:p>
    <w:bookmarkEnd w:id="16"/>
    <w:bookmarkStart w:id="17" w:name="X50f0144be541da91eb574259788b1f9fa6ffbdc"/>
    <w:p>
      <w:pPr>
        <w:pStyle w:val="Heading2"/>
      </w:pPr>
      <w:r>
        <w:t xml:space="preserve">8. Protection of Existing Members</w:t>
      </w:r>
    </w:p>
    <w:p>
      <w:pPr>
        <w:pStyle w:val="FirstParagraph"/>
      </w:pPr>
      <w:r>
        <w:t xml:space="preserve">Integration SHALL NOT:</w:t>
      </w:r>
    </w:p>
    <w:p>
      <w:pPr>
        <w:pStyle w:val="BodyText"/>
      </w:pPr>
      <w:r>
        <w:t xml:space="preserve">dilute existing protocol guarantees,</w:t>
      </w:r>
    </w:p>
    <w:p>
      <w:pPr>
        <w:pStyle w:val="BodyText"/>
      </w:pPr>
      <w:r>
        <w:t xml:space="preserve">redistribute risk retroactively,</w:t>
      </w:r>
    </w:p>
    <w:p>
      <w:pPr>
        <w:pStyle w:val="BodyText"/>
      </w:pPr>
      <w:r>
        <w:t xml:space="preserve">expose current members to imported instability.</w:t>
      </w:r>
    </w:p>
    <w:p>
      <w:pPr>
        <w:pStyle w:val="BodyText"/>
      </w:pPr>
      <w:r>
        <w:t xml:space="preserve">Risk isolation and sandboxing SHALL be enforced during all non-final phases.</w:t>
      </w:r>
    </w:p>
    <w:p>
      <w:r>
        <w:pict>
          <v:rect style="width:0;height:1.5pt" o:hralign="center" o:hrstd="t" o:hr="t"/>
        </w:pict>
      </w:r>
    </w:p>
    <w:bookmarkEnd w:id="17"/>
    <w:bookmarkStart w:id="18" w:name="Xfd64713b97592c6d608b8ca58c16e96a119e0d5"/>
    <w:p>
      <w:pPr>
        <w:pStyle w:val="Heading2"/>
      </w:pPr>
      <w:r>
        <w:t xml:space="preserve">9. Cultural and Legal Non-Interference</w:t>
      </w:r>
    </w:p>
    <w:p>
      <w:pPr>
        <w:pStyle w:val="FirstParagraph"/>
      </w:pPr>
      <w:r>
        <w:t xml:space="preserve">During all integration phases:</w:t>
      </w:r>
    </w:p>
    <w:p>
      <w:pPr>
        <w:pStyle w:val="BodyText"/>
      </w:pPr>
      <w:r>
        <w:t xml:space="preserve">local legal systems remain operative unless explicitly superseded,</w:t>
      </w:r>
    </w:p>
    <w:p>
      <w:pPr>
        <w:pStyle w:val="BodyText"/>
      </w:pPr>
      <w:r>
        <w:t xml:space="preserve">cultural and linguistic systems remain untouched,</w:t>
      </w:r>
    </w:p>
    <w:p>
      <w:pPr>
        <w:pStyle w:val="BodyText"/>
      </w:pPr>
      <w:r>
        <w:t xml:space="preserve">no harmonization is required beyond interface compatibility.</w:t>
      </w:r>
    </w:p>
    <w:p>
      <w:pPr>
        <w:pStyle w:val="BodyText"/>
      </w:pPr>
      <w:r>
        <w:t xml:space="preserve">Cultural or legal divergence is not a failure condition.</w:t>
      </w:r>
    </w:p>
    <w:p>
      <w:r>
        <w:pict>
          <v:rect style="width:0;height:1.5pt" o:hralign="center" o:hrstd="t" o:hr="t"/>
        </w:pict>
      </w:r>
    </w:p>
    <w:bookmarkEnd w:id="18"/>
    <w:bookmarkStart w:id="19" w:name="X11f24c2cdbc5fb7a323e9053a2eff30a67fe27b"/>
    <w:p>
      <w:pPr>
        <w:pStyle w:val="Heading2"/>
      </w:pPr>
      <w:r>
        <w:t xml:space="preserve">10. Transparency and Auditability</w:t>
      </w:r>
    </w:p>
    <w:p>
      <w:pPr>
        <w:pStyle w:val="FirstParagraph"/>
      </w:pPr>
      <w:r>
        <w:t xml:space="preserve">All integration steps:</w:t>
      </w:r>
    </w:p>
    <w:p>
      <w:pPr>
        <w:pStyle w:val="BodyText"/>
      </w:pPr>
      <w:r>
        <w:t xml:space="preserve">MUST be publicly documented,</w:t>
      </w:r>
    </w:p>
    <w:p>
      <w:pPr>
        <w:pStyle w:val="BodyText"/>
      </w:pPr>
      <w:r>
        <w:t xml:space="preserve">MUST expose current phase, scope, and enforceability,</w:t>
      </w:r>
    </w:p>
    <w:p>
      <w:pPr>
        <w:pStyle w:val="BodyText"/>
      </w:pPr>
      <w:r>
        <w:t xml:space="preserve">MAY be audited under DKP-8-AUDIT-001.</w:t>
      </w:r>
    </w:p>
    <w:p>
      <w:pPr>
        <w:pStyle w:val="BodyText"/>
      </w:pPr>
      <w:r>
        <w:t xml:space="preserve">Audit focuses on process integrity, not political preference.</w:t>
      </w:r>
    </w:p>
    <w:p>
      <w:r>
        <w:pict>
          <v:rect style="width:0;height:1.5pt" o:hralign="center" o:hrstd="t" o:hr="t"/>
        </w:pict>
      </w:r>
    </w:p>
    <w:bookmarkEnd w:id="19"/>
    <w:bookmarkStart w:id="20" w:name="X623dea37178af4151f7b5d3e0b9f4edbf778947"/>
    <w:p>
      <w:pPr>
        <w:pStyle w:val="Heading2"/>
      </w:pPr>
      <w:r>
        <w:t xml:space="preserve">11. Prohibited Practices</w:t>
      </w:r>
    </w:p>
    <w:p>
      <w:pPr>
        <w:pStyle w:val="FirstParagraph"/>
      </w:pPr>
      <w:r>
        <w:t xml:space="preserve">The following are explicitly forbidden:</w:t>
      </w:r>
    </w:p>
    <w:p>
      <w:pPr>
        <w:pStyle w:val="BodyText"/>
      </w:pPr>
      <w:r>
        <w:t xml:space="preserve">forced or accelerated integration,</w:t>
      </w:r>
    </w:p>
    <w:p>
      <w:pPr>
        <w:pStyle w:val="BodyText"/>
      </w:pPr>
      <w:r>
        <w:t xml:space="preserve">conditional aid tied to DKP adoption,</w:t>
      </w:r>
    </w:p>
    <w:p>
      <w:pPr>
        <w:pStyle w:val="BodyText"/>
      </w:pPr>
      <w:r>
        <w:t xml:space="preserve">retroactive enforcement,</w:t>
      </w:r>
    </w:p>
    <w:p>
      <w:pPr>
        <w:pStyle w:val="BodyText"/>
      </w:pPr>
      <w:r>
        <w:t xml:space="preserve">use of integration to bypass DKP-7-SCOPE-001,</w:t>
      </w:r>
    </w:p>
    <w:p>
      <w:pPr>
        <w:pStyle w:val="BodyText"/>
      </w:pPr>
      <w:r>
        <w:t xml:space="preserve">hidden dependency creation during early phases.</w:t>
      </w:r>
    </w:p>
    <w:p>
      <w:r>
        <w:pict>
          <v:rect style="width:0;height:1.5pt" o:hralign="center" o:hrstd="t" o:hr="t"/>
        </w:pict>
      </w:r>
    </w:p>
    <w:bookmarkEnd w:id="20"/>
    <w:bookmarkStart w:id="21" w:name="X9632dc1e446e96d86d4dd417625109f0888d4c3"/>
    <w:p>
      <w:pPr>
        <w:pStyle w:val="Heading2"/>
      </w:pPr>
      <w:r>
        <w:t xml:space="preserve">12. Finality Clause</w:t>
      </w:r>
    </w:p>
    <w:p>
      <w:pPr>
        <w:pStyle w:val="FirstParagraph"/>
      </w:pPr>
      <w:r>
        <w:t xml:space="preserve">This protocol is changed only through the controlled procedure of DKP-4-UPGRADE-001: proposal, simulation under DKP-8-SIMULATION-001, audit under DKP-8-AUDIT-001, acceptance conditions, activation window and rollback.</w:t>
      </w:r>
    </w:p>
    <w:p>
      <w:pPr>
        <w:pStyle w:val="BodyText"/>
      </w:pPr>
      <w:r>
        <w:t xml:space="preserve">In addition:</w:t>
      </w:r>
    </w:p>
    <w:p>
      <w:pPr>
        <w:pStyle w:val="BodyText"/>
      </w:pPr>
      <w:r>
        <w:t xml:space="preserve">any modification requires a new protocol identifier,</w:t>
      </w:r>
    </w:p>
    <w:p>
      <w:pPr>
        <w:pStyle w:val="BodyText"/>
      </w:pPr>
      <w:r>
        <w:t xml:space="preserve">mandatory simulation under DKP-8-SIMULATION-001,</w:t>
      </w:r>
    </w:p>
    <w:p>
      <w:pPr>
        <w:pStyle w:val="BodyText"/>
      </w:pPr>
      <w:r>
        <w:t xml:space="preserve">explicit compatibility declaration with DKP-7-SCOPE-001.</w:t>
      </w:r>
    </w:p>
    <w:p>
      <w:pPr>
        <w:pStyle w:val="BodyText"/>
      </w:pPr>
      <w:r>
        <w:t xml:space="preserve">Presentation-only corrections that do not change normative content are not Upgrades (DKP-4-UPGRADE-001 §3); they are recorded only by the "Last updated" date of this document.</w:t>
      </w:r>
    </w:p>
    <w:p>
      <w:pPr>
        <w:pStyle w:val="BodyText"/>
      </w:pPr>
      <w:r>
        <w:t xml:space="preserve">Edition integrity: the SHA-256 digest of the canonical source of each published edition is listed in</w:t>
      </w:r>
      <w:r>
        <w:t xml:space="preserve"> </w:t>
      </w:r>
      <w:r>
        <w:rPr>
          <w:rStyle w:val="VerbatimChar"/>
        </w:rPr>
        <w:t xml:space="preserve">SHA256SUMS.txt</w:t>
      </w:r>
      <w:r>
        <w:t xml:space="preserve"> </w:t>
      </w:r>
      <w:r>
        <w:t xml:space="preserve">of the canonical repository (github.com/anahronic/World).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2026-10-04T10:23:50Z</dcterms:created>
  <dcterms:modified xsi:type="dcterms:W3CDTF">2026-10-04T10:23:50Z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