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kp-7-privacy-001"/>
    <w:p>
      <w:pPr>
        <w:pStyle w:val="Heading1"/>
      </w:pPr>
      <w:r>
        <w:t xml:space="preserve">DKP-7-PRIVACY-001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Data Privacy Protocol</w:t>
      </w:r>
    </w:p>
    <w:bookmarkStart w:id="9" w:name="Xed18480de915fb5726eab83687519cc76fbb73b"/>
    <w:p>
      <w:pPr>
        <w:pStyle w:val="Heading2"/>
      </w:pPr>
      <w:r>
        <w:t xml:space="preserve">1. Preamble</w:t>
      </w:r>
    </w:p>
    <w:p>
      <w:pPr>
        <w:pStyle w:val="FirstParagraph"/>
      </w:pPr>
      <w:r>
        <w:t xml:space="preserve">DKP-7-PRIVACY-001 defines privacy as a structural constraint of Dikenocracy, not as an individual privilege or moral claim.</w:t>
      </w:r>
    </w:p>
    <w:p>
      <w:pPr>
        <w:pStyle w:val="BodyText"/>
      </w:pPr>
      <w:r>
        <w:t xml:space="preserve">Privacy exists to prevent concentration of power through total visibility, to preserve subject autonomy, and to ensure that transparency mechanisms do not become instruments of coercion, surveillance, or behavioral control.</w:t>
      </w:r>
    </w:p>
    <w:p>
      <w:pPr>
        <w:pStyle w:val="BodyText"/>
      </w:pPr>
      <w:r>
        <w:t xml:space="preserve">This protocol does not negate transparency.</w:t>
      </w:r>
    </w:p>
    <w:p>
      <w:pPr>
        <w:pStyle w:val="BodyText"/>
      </w:pPr>
      <w:r>
        <w:t xml:space="preserve">It defines its hard limits.</w:t>
      </w:r>
    </w:p>
    <w:p>
      <w:r>
        <w:pict>
          <v:rect style="width:0;height:1.5pt" o:hralign="center" o:hrstd="t" o:hr="t"/>
        </w:pict>
      </w:r>
    </w:p>
    <w:bookmarkEnd w:id="9"/>
    <w:bookmarkStart w:id="10" w:name="X1afbb7cf017363dacdada6abb79ba2dcb78a7a4"/>
    <w:p>
      <w:pPr>
        <w:pStyle w:val="Heading2"/>
      </w:pPr>
      <w:r>
        <w:t xml:space="preserve">2. Purpose</w:t>
      </w:r>
    </w:p>
    <w:p>
      <w:pPr>
        <w:pStyle w:val="FirstParagraph"/>
      </w:pPr>
      <w:r>
        <w:t xml:space="preserve">The purpose of DKP-7-PRIVACY-001 is to:</w:t>
      </w:r>
    </w:p>
    <w:p>
      <w:pPr>
        <w:pStyle w:val="Compact"/>
        <w:numPr>
          <w:ilvl w:val="0"/>
          <w:numId w:val="1001"/>
        </w:numPr>
      </w:pPr>
      <w:r>
        <w:t xml:space="preserve">protect subjects from total observability,</w:t>
      </w:r>
    </w:p>
    <w:p>
      <w:pPr>
        <w:pStyle w:val="Compact"/>
        <w:numPr>
          <w:ilvl w:val="0"/>
          <w:numId w:val="1001"/>
        </w:numPr>
      </w:pPr>
      <w:r>
        <w:t xml:space="preserve">define which data may never be made public,</w:t>
      </w:r>
    </w:p>
    <w:p>
      <w:pPr>
        <w:pStyle w:val="Compact"/>
        <w:numPr>
          <w:ilvl w:val="0"/>
          <w:numId w:val="1001"/>
        </w:numPr>
      </w:pPr>
      <w:r>
        <w:t xml:space="preserve">formalize anonymity as a system invariant,</w:t>
      </w:r>
    </w:p>
    <w:p>
      <w:pPr>
        <w:pStyle w:val="Compact"/>
        <w:numPr>
          <w:ilvl w:val="0"/>
          <w:numId w:val="1001"/>
        </w:numPr>
      </w:pPr>
      <w:r>
        <w:t xml:space="preserve">prevent re-identification through data correlation,</w:t>
      </w:r>
    </w:p>
    <w:p>
      <w:pPr>
        <w:pStyle w:val="Compact"/>
        <w:numPr>
          <w:ilvl w:val="0"/>
          <w:numId w:val="1001"/>
        </w:numPr>
      </w:pPr>
      <w:r>
        <w:t xml:space="preserve">balance auditability with non-extractability of personal life.</w:t>
      </w:r>
    </w:p>
    <w:p>
      <w:pPr>
        <w:pStyle w:val="FirstParagraph"/>
      </w:pPr>
      <w:r>
        <w:t xml:space="preserve">Privacy under DKP is a stability requirement, not a personal entitlement.</w:t>
      </w:r>
    </w:p>
    <w:p>
      <w:r>
        <w:pict>
          <v:rect style="width:0;height:1.5pt" o:hralign="center" o:hrstd="t" o:hr="t"/>
        </w:pict>
      </w:r>
    </w:p>
    <w:bookmarkEnd w:id="10"/>
    <w:bookmarkStart w:id="11" w:name="X0680bac001f065e0466b9159bc29962af503f0e"/>
    <w:p>
      <w:pPr>
        <w:pStyle w:val="Heading2"/>
      </w:pPr>
      <w:r>
        <w:t xml:space="preserve">3. System Position</w:t>
      </w:r>
    </w:p>
    <w:p>
      <w:pPr>
        <w:pStyle w:val="FirstParagraph"/>
      </w:pPr>
      <w:r>
        <w:t xml:space="preserve">DKP-7-PRIVACY-001 operates:</w:t>
      </w:r>
    </w:p>
    <w:p>
      <w:pPr>
        <w:pStyle w:val="Compact"/>
        <w:numPr>
          <w:ilvl w:val="0"/>
          <w:numId w:val="1002"/>
        </w:numPr>
      </w:pPr>
      <w:r>
        <w:t xml:space="preserve">parallel to DKP-7-SCOPE-001,</w:t>
      </w:r>
    </w:p>
    <w:p>
      <w:pPr>
        <w:pStyle w:val="Compact"/>
        <w:numPr>
          <w:ilvl w:val="0"/>
          <w:numId w:val="1002"/>
        </w:numPr>
      </w:pPr>
      <w:r>
        <w:t xml:space="preserve">parallel to DKP-7-TRANSPARENCY-001,</w:t>
      </w:r>
    </w:p>
    <w:p>
      <w:pPr>
        <w:pStyle w:val="Compact"/>
        <w:numPr>
          <w:ilvl w:val="0"/>
          <w:numId w:val="1002"/>
        </w:numPr>
      </w:pPr>
      <w:r>
        <w:t xml:space="preserve">downstream of DKP-1-AXIOMS-001,</w:t>
      </w:r>
    </w:p>
    <w:p>
      <w:pPr>
        <w:pStyle w:val="Compact"/>
        <w:numPr>
          <w:ilvl w:val="0"/>
          <w:numId w:val="1002"/>
        </w:numPr>
      </w:pPr>
      <w:r>
        <w:t xml:space="preserve">upstream of all audit, identity, and information protocols.</w:t>
      </w:r>
    </w:p>
    <w:p>
      <w:pPr>
        <w:pStyle w:val="FirstParagraph"/>
      </w:pPr>
      <w:r>
        <w:t xml:space="preserve">This protocol constrains:</w:t>
      </w:r>
    </w:p>
    <w:p>
      <w:pPr>
        <w:pStyle w:val="Compact"/>
        <w:numPr>
          <w:ilvl w:val="0"/>
          <w:numId w:val="1003"/>
        </w:numPr>
      </w:pPr>
      <w:r>
        <w:t xml:space="preserve">DKP-7-TRANSPARENCY-001,</w:t>
      </w:r>
    </w:p>
    <w:p>
      <w:pPr>
        <w:pStyle w:val="Compact"/>
        <w:numPr>
          <w:ilvl w:val="0"/>
          <w:numId w:val="1003"/>
        </w:numPr>
      </w:pPr>
      <w:r>
        <w:t xml:space="preserve">DKP-8-AUDIT-001,</w:t>
      </w:r>
    </w:p>
    <w:p>
      <w:pPr>
        <w:pStyle w:val="Compact"/>
        <w:numPr>
          <w:ilvl w:val="0"/>
          <w:numId w:val="1003"/>
        </w:numPr>
      </w:pPr>
      <w:r>
        <w:t xml:space="preserve">DKP-5-INFO-001,</w:t>
      </w:r>
    </w:p>
    <w:p>
      <w:pPr>
        <w:pStyle w:val="Compact"/>
        <w:numPr>
          <w:ilvl w:val="0"/>
          <w:numId w:val="1003"/>
        </w:numPr>
      </w:pPr>
      <w:r>
        <w:t xml:space="preserve">DKP-5-EDU-001.</w:t>
      </w:r>
    </w:p>
    <w:p>
      <w:pPr>
        <w:pStyle w:val="FirstParagraph"/>
      </w:pPr>
      <w:r>
        <w:t xml:space="preserve">No protocol may override privacy constraints except where explicitly permitted herein.</w:t>
      </w:r>
    </w:p>
    <w:p>
      <w:r>
        <w:pict>
          <v:rect style="width:0;height:1.5pt" o:hralign="center" o:hrstd="t" o:hr="t"/>
        </w:pict>
      </w:r>
    </w:p>
    <w:bookmarkEnd w:id="11"/>
    <w:bookmarkStart w:id="12" w:name="Xa01e8475e3809635f658de6ac5b25d3cd0b29bf"/>
    <w:p>
      <w:pPr>
        <w:pStyle w:val="Heading2"/>
      </w:pPr>
      <w:r>
        <w:t xml:space="preserve">4. Definitions</w:t>
      </w:r>
    </w:p>
    <w:p>
      <w:pPr>
        <w:pStyle w:val="Compact"/>
        <w:numPr>
          <w:ilvl w:val="0"/>
          <w:numId w:val="1004"/>
        </w:numPr>
      </w:pPr>
      <w:r>
        <w:t xml:space="preserve">Personal Data — any data that can be causally linked to a specific Subject across time.</w:t>
      </w:r>
    </w:p>
    <w:p>
      <w:pPr>
        <w:pStyle w:val="Compact"/>
        <w:numPr>
          <w:ilvl w:val="0"/>
          <w:numId w:val="1004"/>
        </w:numPr>
      </w:pPr>
      <w:r>
        <w:t xml:space="preserve">Identifying Data — data that directly reveals subject identity.</w:t>
      </w:r>
    </w:p>
    <w:p>
      <w:pPr>
        <w:pStyle w:val="Compact"/>
        <w:numPr>
          <w:ilvl w:val="0"/>
          <w:numId w:val="1004"/>
        </w:numPr>
      </w:pPr>
      <w:r>
        <w:t xml:space="preserve">Quasi-Identifying Data — data that enables re-identification via correlation.</w:t>
      </w:r>
    </w:p>
    <w:p>
      <w:pPr>
        <w:pStyle w:val="Compact"/>
        <w:numPr>
          <w:ilvl w:val="0"/>
          <w:numId w:val="1004"/>
        </w:numPr>
      </w:pPr>
      <w:r>
        <w:t xml:space="preserve">Anonymous Data — data provably non-linkable to a Subject.</w:t>
      </w:r>
    </w:p>
    <w:p>
      <w:pPr>
        <w:pStyle w:val="Compact"/>
        <w:numPr>
          <w:ilvl w:val="0"/>
          <w:numId w:val="1004"/>
        </w:numPr>
      </w:pPr>
      <w:r>
        <w:t xml:space="preserve">Privacy Breach — any condition enabling identity reconstruction beyond defined thresholds.</w:t>
      </w:r>
    </w:p>
    <w:p>
      <w:r>
        <w:pict>
          <v:rect style="width:0;height:1.5pt" o:hralign="center" o:hrstd="t" o:hr="t"/>
        </w:pict>
      </w:r>
    </w:p>
    <w:bookmarkEnd w:id="12"/>
    <w:bookmarkStart w:id="13" w:name="Xc63c94595563cc83e1bfa8f489fd288a39f6bc5"/>
    <w:p>
      <w:pPr>
        <w:pStyle w:val="Heading2"/>
      </w:pPr>
      <w:r>
        <w:t xml:space="preserve">5. Core Privacy Principles</w:t>
      </w:r>
    </w:p>
    <w:p>
      <w:pPr>
        <w:pStyle w:val="FirstParagraph"/>
      </w:pPr>
      <w:r>
        <w:rPr>
          <w:b/>
          <w:bCs/>
        </w:rPr>
        <w:t xml:space="preserve">4.1 Non-Total Visibility</w:t>
      </w:r>
    </w:p>
    <w:p>
      <w:pPr>
        <w:pStyle w:val="BodyText"/>
      </w:pPr>
      <w:r>
        <w:t xml:space="preserve">No Subject SHALL be fully observable across all system layers.</w:t>
      </w:r>
    </w:p>
    <w:p>
      <w:pPr>
        <w:pStyle w:val="BodyText"/>
      </w:pPr>
      <w:r>
        <w:t xml:space="preserve">Total data aggregation across domains is forbidden.</w:t>
      </w:r>
    </w:p>
    <w:p>
      <w:pPr>
        <w:pStyle w:val="BodyText"/>
      </w:pPr>
      <w:r>
        <w:rPr>
          <w:b/>
          <w:bCs/>
        </w:rPr>
        <w:t xml:space="preserve">4.2 Minimum Exposure</w:t>
      </w:r>
    </w:p>
    <w:p>
      <w:pPr>
        <w:pStyle w:val="BodyText"/>
      </w:pPr>
      <w:r>
        <w:t xml:space="preserve">Only the minimum data required for protocol execution may be processed.</w:t>
      </w:r>
    </w:p>
    <w:p>
      <w:pPr>
        <w:pStyle w:val="BodyText"/>
      </w:pPr>
      <w:r>
        <w:rPr>
          <w:b/>
          <w:bCs/>
        </w:rPr>
        <w:t xml:space="preserve">4.3 Non-Reidentification</w:t>
      </w:r>
    </w:p>
    <w:p>
      <w:pPr>
        <w:pStyle w:val="BodyText"/>
      </w:pPr>
      <w:r>
        <w:t xml:space="preserve">The system MUST prevent identity reconstruction through data linkage.</w:t>
      </w:r>
    </w:p>
    <w:p>
      <w:pPr>
        <w:pStyle w:val="BodyText"/>
      </w:pPr>
      <w:r>
        <w:rPr>
          <w:b/>
          <w:bCs/>
        </w:rPr>
        <w:t xml:space="preserve">4.4 Privacy over Convenience</w:t>
      </w:r>
    </w:p>
    <w:p>
      <w:pPr>
        <w:pStyle w:val="BodyText"/>
      </w:pPr>
      <w:r>
        <w:t xml:space="preserve">Efficiency, optimization, or analytical value SHALL NOT justify privacy erosion.</w:t>
      </w:r>
    </w:p>
    <w:p>
      <w:r>
        <w:pict>
          <v:rect style="width:0;height:1.5pt" o:hralign="center" o:hrstd="t" o:hr="t"/>
        </w:pict>
      </w:r>
    </w:p>
    <w:bookmarkEnd w:id="13"/>
    <w:bookmarkStart w:id="14" w:name="Xdb60369fc48853adcea5b80b71874edbb41fe1a"/>
    <w:p>
      <w:pPr>
        <w:pStyle w:val="Heading2"/>
      </w:pPr>
      <w:r>
        <w:t xml:space="preserve">6. Absolute Privacy Domains</w:t>
      </w:r>
    </w:p>
    <w:p>
      <w:pPr>
        <w:pStyle w:val="FirstParagraph"/>
      </w:pPr>
      <w:r>
        <w:t xml:space="preserve">The following domains SHALL ALWAYS remain private and non-public:</w:t>
      </w:r>
    </w:p>
    <w:p>
      <w:pPr>
        <w:pStyle w:val="Compact"/>
        <w:numPr>
          <w:ilvl w:val="0"/>
          <w:numId w:val="1005"/>
        </w:numPr>
      </w:pPr>
      <w:r>
        <w:t xml:space="preserve">medical and biological data,</w:t>
      </w:r>
    </w:p>
    <w:p>
      <w:pPr>
        <w:pStyle w:val="Compact"/>
        <w:numPr>
          <w:ilvl w:val="0"/>
          <w:numId w:val="1005"/>
        </w:numPr>
      </w:pPr>
      <w:r>
        <w:t xml:space="preserve">mental and psychological states,</w:t>
      </w:r>
    </w:p>
    <w:p>
      <w:pPr>
        <w:pStyle w:val="Compact"/>
        <w:numPr>
          <w:ilvl w:val="0"/>
          <w:numId w:val="1005"/>
        </w:numPr>
      </w:pPr>
      <w:r>
        <w:t xml:space="preserve">intimate relationships,</w:t>
      </w:r>
    </w:p>
    <w:p>
      <w:pPr>
        <w:pStyle w:val="Compact"/>
        <w:numPr>
          <w:ilvl w:val="0"/>
          <w:numId w:val="1005"/>
        </w:numPr>
      </w:pPr>
      <w:r>
        <w:t xml:space="preserve">beliefs, conscience, and inner conviction,</w:t>
      </w:r>
    </w:p>
    <w:p>
      <w:pPr>
        <w:pStyle w:val="Compact"/>
        <w:numPr>
          <w:ilvl w:val="0"/>
          <w:numId w:val="1005"/>
        </w:numPr>
      </w:pPr>
      <w:r>
        <w:t xml:space="preserve">private communications not producing externalized impact.</w:t>
      </w:r>
    </w:p>
    <w:p>
      <w:pPr>
        <w:pStyle w:val="FirstParagraph"/>
      </w:pPr>
      <w:r>
        <w:t xml:space="preserve">These domains are non-extractable and non-auditable at the individual level.</w:t>
      </w:r>
    </w:p>
    <w:p>
      <w:r>
        <w:pict>
          <v:rect style="width:0;height:1.5pt" o:hralign="center" o:hrstd="t" o:hr="t"/>
        </w:pict>
      </w:r>
    </w:p>
    <w:bookmarkEnd w:id="14"/>
    <w:bookmarkStart w:id="15" w:name="X4ef9b03602b7dbc5db920e3fbed6baf899b0341"/>
    <w:p>
      <w:pPr>
        <w:pStyle w:val="Heading2"/>
      </w:pPr>
      <w:r>
        <w:t xml:space="preserve">7. Conditional Transparency Domains</w:t>
      </w:r>
    </w:p>
    <w:p>
      <w:pPr>
        <w:pStyle w:val="FirstParagraph"/>
      </w:pPr>
      <w:r>
        <w:t xml:space="preserve">The following MAY be exposed only in anonymized or aggregated form:</w:t>
      </w:r>
    </w:p>
    <w:p>
      <w:pPr>
        <w:pStyle w:val="Compact"/>
        <w:numPr>
          <w:ilvl w:val="0"/>
          <w:numId w:val="1006"/>
        </w:numPr>
      </w:pPr>
      <w:r>
        <w:t xml:space="preserve">economic activity,</w:t>
      </w:r>
    </w:p>
    <w:p>
      <w:pPr>
        <w:pStyle w:val="Compact"/>
        <w:numPr>
          <w:ilvl w:val="0"/>
          <w:numId w:val="1006"/>
        </w:numPr>
      </w:pPr>
      <w:r>
        <w:t xml:space="preserve">resource consumption,</w:t>
      </w:r>
    </w:p>
    <w:p>
      <w:pPr>
        <w:pStyle w:val="Compact"/>
        <w:numPr>
          <w:ilvl w:val="0"/>
          <w:numId w:val="1006"/>
        </w:numPr>
      </w:pPr>
      <w:r>
        <w:t xml:space="preserve">mobility patterns,</w:t>
      </w:r>
    </w:p>
    <w:p>
      <w:pPr>
        <w:pStyle w:val="Compact"/>
        <w:numPr>
          <w:ilvl w:val="0"/>
          <w:numId w:val="1006"/>
        </w:numPr>
      </w:pPr>
      <w:r>
        <w:t xml:space="preserve">educational interaction,</w:t>
      </w:r>
    </w:p>
    <w:p>
      <w:pPr>
        <w:pStyle w:val="Compact"/>
        <w:numPr>
          <w:ilvl w:val="0"/>
          <w:numId w:val="1006"/>
        </w:numPr>
      </w:pPr>
      <w:r>
        <w:t xml:space="preserve">platform usage metrics.</w:t>
      </w:r>
    </w:p>
    <w:p>
      <w:pPr>
        <w:pStyle w:val="FirstParagraph"/>
      </w:pPr>
      <w:r>
        <w:t xml:space="preserve">Individual-level disclosure is forbidden unless explicitly triggered by higher-layer enforcement protocols within Scope.</w:t>
      </w:r>
    </w:p>
    <w:p>
      <w:r>
        <w:pict>
          <v:rect style="width:0;height:1.5pt" o:hralign="center" o:hrstd="t" o:hr="t"/>
        </w:pict>
      </w:r>
    </w:p>
    <w:bookmarkEnd w:id="15"/>
    <w:bookmarkStart w:id="16" w:name="X1e7286b9b4fba10c69e263d6f09c4c8944b4603"/>
    <w:p>
      <w:pPr>
        <w:pStyle w:val="Heading2"/>
      </w:pPr>
      <w:r>
        <w:t xml:space="preserve">8. Anonymity Guarantees</w:t>
      </w:r>
    </w:p>
    <w:p>
      <w:pPr>
        <w:pStyle w:val="FirstParagraph"/>
      </w:pPr>
      <w:r>
        <w:t xml:space="preserve">Subjects SHALL have the right to act anonymously wherever identity is not required for:</w:t>
      </w:r>
    </w:p>
    <w:p>
      <w:pPr>
        <w:pStyle w:val="Compact"/>
        <w:numPr>
          <w:ilvl w:val="0"/>
          <w:numId w:val="1007"/>
        </w:numPr>
      </w:pPr>
      <w:r>
        <w:t xml:space="preserve">liability attribution,</w:t>
      </w:r>
    </w:p>
    <w:p>
      <w:pPr>
        <w:pStyle w:val="Compact"/>
        <w:numPr>
          <w:ilvl w:val="0"/>
          <w:numId w:val="1007"/>
        </w:numPr>
      </w:pPr>
      <w:r>
        <w:t xml:space="preserve">risk allocation,</w:t>
      </w:r>
    </w:p>
    <w:p>
      <w:pPr>
        <w:pStyle w:val="Compact"/>
        <w:numPr>
          <w:ilvl w:val="0"/>
          <w:numId w:val="1007"/>
        </w:numPr>
      </w:pPr>
      <w:r>
        <w:t xml:space="preserve">resource transfer.</w:t>
      </w:r>
    </w:p>
    <w:p>
      <w:pPr>
        <w:pStyle w:val="FirstParagraph"/>
      </w:pPr>
      <w:r>
        <w:t xml:space="preserve">Anonymous participation SHALL NOT reduce rights or access to system functions.</w:t>
      </w:r>
    </w:p>
    <w:p>
      <w:r>
        <w:pict>
          <v:rect style="width:0;height:1.5pt" o:hralign="center" o:hrstd="t" o:hr="t"/>
        </w:pict>
      </w:r>
    </w:p>
    <w:bookmarkEnd w:id="16"/>
    <w:bookmarkStart w:id="17" w:name="X03142cfd8426e0ab5680b29465d3dda1a14d7f3"/>
    <w:p>
      <w:pPr>
        <w:pStyle w:val="Heading2"/>
      </w:pPr>
      <w:r>
        <w:t xml:space="preserve">9. Audit Compatibility</w:t>
      </w:r>
    </w:p>
    <w:p>
      <w:pPr>
        <w:pStyle w:val="FirstParagraph"/>
      </w:pPr>
      <w:r>
        <w:t xml:space="preserve">Audit processes:</w:t>
      </w:r>
    </w:p>
    <w:p>
      <w:pPr>
        <w:pStyle w:val="Compact"/>
        <w:numPr>
          <w:ilvl w:val="0"/>
          <w:numId w:val="1008"/>
        </w:numPr>
      </w:pPr>
      <w:r>
        <w:t xml:space="preserve">MUST operate on anonymized datasets where possible,</w:t>
      </w:r>
    </w:p>
    <w:p>
      <w:pPr>
        <w:pStyle w:val="Compact"/>
        <w:numPr>
          <w:ilvl w:val="0"/>
          <w:numId w:val="1008"/>
        </w:numPr>
      </w:pPr>
      <w:r>
        <w:t xml:space="preserve">MUST use zero-knowledge proofs for verification,</w:t>
      </w:r>
    </w:p>
    <w:p>
      <w:pPr>
        <w:pStyle w:val="Compact"/>
        <w:numPr>
          <w:ilvl w:val="0"/>
          <w:numId w:val="1008"/>
        </w:numPr>
      </w:pPr>
      <w:r>
        <w:t xml:space="preserve">SHALL NOT access raw personal data.</w:t>
      </w:r>
    </w:p>
    <w:p>
      <w:pPr>
        <w:pStyle w:val="FirstParagraph"/>
      </w:pPr>
      <w:r>
        <w:t xml:space="preserve">Auditability applies to system behavior, not personal life.</w:t>
      </w:r>
    </w:p>
    <w:p>
      <w:r>
        <w:pict>
          <v:rect style="width:0;height:1.5pt" o:hralign="center" o:hrstd="t" o:hr="t"/>
        </w:pict>
      </w:r>
    </w:p>
    <w:bookmarkEnd w:id="17"/>
    <w:bookmarkStart w:id="18" w:name="X41ca406bd016f960be63650eca732057dff9b9a"/>
    <w:p>
      <w:pPr>
        <w:pStyle w:val="Heading2"/>
      </w:pPr>
      <w:r>
        <w:t xml:space="preserve">10. Prohibited Practices</w:t>
      </w:r>
    </w:p>
    <w:p>
      <w:pPr>
        <w:pStyle w:val="FirstParagraph"/>
      </w:pPr>
      <w:r>
        <w:t xml:space="preserve">The following are explicitly forbidden:</w:t>
      </w:r>
    </w:p>
    <w:p>
      <w:pPr>
        <w:pStyle w:val="Compact"/>
        <w:numPr>
          <w:ilvl w:val="0"/>
          <w:numId w:val="1009"/>
        </w:numPr>
      </w:pPr>
      <w:r>
        <w:t xml:space="preserve">mass surveillance,</w:t>
      </w:r>
    </w:p>
    <w:p>
      <w:pPr>
        <w:pStyle w:val="Compact"/>
        <w:numPr>
          <w:ilvl w:val="0"/>
          <w:numId w:val="1009"/>
        </w:numPr>
      </w:pPr>
      <w:r>
        <w:t xml:space="preserve">behavioral profiling,</w:t>
      </w:r>
    </w:p>
    <w:p>
      <w:pPr>
        <w:pStyle w:val="Compact"/>
        <w:numPr>
          <w:ilvl w:val="0"/>
          <w:numId w:val="1009"/>
        </w:numPr>
      </w:pPr>
      <w:r>
        <w:t xml:space="preserve">predictive policing,</w:t>
      </w:r>
    </w:p>
    <w:p>
      <w:pPr>
        <w:pStyle w:val="Compact"/>
        <w:numPr>
          <w:ilvl w:val="0"/>
          <w:numId w:val="1009"/>
        </w:numPr>
      </w:pPr>
      <w:r>
        <w:t xml:space="preserve">social credit scoring,</w:t>
      </w:r>
    </w:p>
    <w:p>
      <w:pPr>
        <w:pStyle w:val="Compact"/>
        <w:numPr>
          <w:ilvl w:val="0"/>
          <w:numId w:val="1009"/>
        </w:numPr>
      </w:pPr>
      <w:r>
        <w:t xml:space="preserve">cross-domain identity correlation.</w:t>
      </w:r>
    </w:p>
    <w:p>
      <w:pPr>
        <w:pStyle w:val="FirstParagraph"/>
      </w:pPr>
      <w:r>
        <w:t xml:space="preserve">Violation constitutes a critical system integrity breach.</w:t>
      </w:r>
    </w:p>
    <w:p>
      <w:r>
        <w:pict>
          <v:rect style="width:0;height:1.5pt" o:hralign="center" o:hrstd="t" o:hr="t"/>
        </w:pict>
      </w:r>
    </w:p>
    <w:bookmarkEnd w:id="18"/>
    <w:bookmarkStart w:id="19" w:name="X9dbfaf9553a0be77a95f2a0445aac1a5d906173"/>
    <w:p>
      <w:pPr>
        <w:pStyle w:val="Heading2"/>
      </w:pPr>
      <w:r>
        <w:t xml:space="preserve">11. Crisis and Exception Handling</w:t>
      </w:r>
    </w:p>
    <w:p>
      <w:pPr>
        <w:pStyle w:val="FirstParagraph"/>
      </w:pPr>
      <w:r>
        <w:t xml:space="preserve">Privacy SHALL NOT be suspended during crisis.</w:t>
      </w:r>
    </w:p>
    <w:p>
      <w:pPr>
        <w:pStyle w:val="BodyText"/>
      </w:pPr>
      <w:r>
        <w:t xml:space="preserve">Crisis protocols MAY:</w:t>
      </w:r>
    </w:p>
    <w:p>
      <w:pPr>
        <w:pStyle w:val="Compact"/>
        <w:numPr>
          <w:ilvl w:val="0"/>
          <w:numId w:val="1010"/>
        </w:numPr>
      </w:pPr>
      <w:r>
        <w:t xml:space="preserve">reduce anonymity only within explicitly bounded Crisis Scope,</w:t>
      </w:r>
    </w:p>
    <w:p>
      <w:pPr>
        <w:pStyle w:val="Compact"/>
        <w:numPr>
          <w:ilvl w:val="0"/>
          <w:numId w:val="1010"/>
        </w:numPr>
      </w:pPr>
      <w:r>
        <w:t xml:space="preserve">ONLY for direct life-preservation purposes.</w:t>
      </w:r>
    </w:p>
    <w:p>
      <w:pPr>
        <w:pStyle w:val="FirstParagraph"/>
      </w:pPr>
      <w:r>
        <w:t xml:space="preserve">Any reduction:</w:t>
      </w:r>
    </w:p>
    <w:p>
      <w:pPr>
        <w:pStyle w:val="Compact"/>
        <w:numPr>
          <w:ilvl w:val="0"/>
          <w:numId w:val="1011"/>
        </w:numPr>
      </w:pPr>
      <w:r>
        <w:t xml:space="preserve">MUST be temporary,</w:t>
      </w:r>
    </w:p>
    <w:p>
      <w:pPr>
        <w:pStyle w:val="Compact"/>
        <w:numPr>
          <w:ilvl w:val="0"/>
          <w:numId w:val="1011"/>
        </w:numPr>
      </w:pPr>
      <w:r>
        <w:t xml:space="preserve">MUST be logged,</w:t>
      </w:r>
    </w:p>
    <w:p>
      <w:pPr>
        <w:pStyle w:val="Compact"/>
        <w:numPr>
          <w:ilvl w:val="0"/>
          <w:numId w:val="1011"/>
        </w:numPr>
      </w:pPr>
      <w:r>
        <w:t xml:space="preserve">MUST be reversible,</w:t>
      </w:r>
    </w:p>
    <w:p>
      <w:pPr>
        <w:pStyle w:val="Compact"/>
        <w:numPr>
          <w:ilvl w:val="0"/>
          <w:numId w:val="1011"/>
        </w:numPr>
      </w:pPr>
      <w:r>
        <w:t xml:space="preserve">SHALL NOT persist beyond Crisis Scope.</w:t>
      </w:r>
    </w:p>
    <w:p>
      <w:r>
        <w:pict>
          <v:rect style="width:0;height:1.5pt" o:hralign="center" o:hrstd="t" o:hr="t"/>
        </w:pict>
      </w:r>
    </w:p>
    <w:bookmarkEnd w:id="19"/>
    <w:bookmarkStart w:id="20" w:name="Xa060e9f7318ae324224cef4c7f7e8a65da06336"/>
    <w:p>
      <w:pPr>
        <w:pStyle w:val="Heading2"/>
      </w:pPr>
      <w:r>
        <w:t xml:space="preserve">12. Transparency about Privacy</w:t>
      </w:r>
    </w:p>
    <w:p>
      <w:pPr>
        <w:pStyle w:val="FirstParagraph"/>
      </w:pPr>
      <w:r>
        <w:t xml:space="preserve">All privacy rules, thresholds, and guarantees:</w:t>
      </w:r>
    </w:p>
    <w:p>
      <w:pPr>
        <w:pStyle w:val="Compact"/>
        <w:numPr>
          <w:ilvl w:val="0"/>
          <w:numId w:val="1012"/>
        </w:numPr>
      </w:pPr>
      <w:r>
        <w:t xml:space="preserve">MUST be public,</w:t>
      </w:r>
    </w:p>
    <w:p>
      <w:pPr>
        <w:pStyle w:val="Compact"/>
        <w:numPr>
          <w:ilvl w:val="0"/>
          <w:numId w:val="1012"/>
        </w:numPr>
      </w:pPr>
      <w:r>
        <w:t xml:space="preserve">MUST be auditable,</w:t>
      </w:r>
    </w:p>
    <w:p>
      <w:pPr>
        <w:pStyle w:val="Compact"/>
        <w:numPr>
          <w:ilvl w:val="0"/>
          <w:numId w:val="1012"/>
        </w:numPr>
      </w:pPr>
      <w:r>
        <w:t xml:space="preserve">MUST be verifiable by Subjects.</w:t>
      </w:r>
    </w:p>
    <w:p>
      <w:pPr>
        <w:pStyle w:val="FirstParagraph"/>
      </w:pPr>
      <w:r>
        <w:t xml:space="preserve">Subjects must be able to verify what the system cannot see.</w:t>
      </w:r>
    </w:p>
    <w:p>
      <w:r>
        <w:pict>
          <v:rect style="width:0;height:1.5pt" o:hralign="center" o:hrstd="t" o:hr="t"/>
        </w:pict>
      </w:r>
    </w:p>
    <w:bookmarkEnd w:id="20"/>
    <w:bookmarkStart w:id="21" w:name="X1bef3c012e59e0c099bd55e6f722fd37163e889"/>
    <w:p>
      <w:pPr>
        <w:pStyle w:val="Heading2"/>
      </w:pPr>
      <w:r>
        <w:t xml:space="preserve">13. Scope Limitations</w:t>
      </w:r>
    </w:p>
    <w:p>
      <w:pPr>
        <w:pStyle w:val="FirstParagraph"/>
      </w:pPr>
      <w:r>
        <w:t xml:space="preserve">DKP-7-PRIVACY-001 SHALL NOT:</w:t>
      </w:r>
    </w:p>
    <w:p>
      <w:pPr>
        <w:pStyle w:val="Compact"/>
        <w:numPr>
          <w:ilvl w:val="0"/>
          <w:numId w:val="1013"/>
        </w:numPr>
      </w:pPr>
      <w:r>
        <w:t xml:space="preserve">shield criminal liability,</w:t>
      </w:r>
    </w:p>
    <w:p>
      <w:pPr>
        <w:pStyle w:val="Compact"/>
        <w:numPr>
          <w:ilvl w:val="0"/>
          <w:numId w:val="1013"/>
        </w:numPr>
      </w:pPr>
      <w:r>
        <w:t xml:space="preserve">prevent impact attribution,</w:t>
      </w:r>
    </w:p>
    <w:p>
      <w:pPr>
        <w:pStyle w:val="Compact"/>
        <w:numPr>
          <w:ilvl w:val="0"/>
          <w:numId w:val="1013"/>
        </w:numPr>
      </w:pPr>
      <w:r>
        <w:t xml:space="preserve">override DKP-1-AXIOMS-001,</w:t>
      </w:r>
    </w:p>
    <w:p>
      <w:pPr>
        <w:pStyle w:val="Compact"/>
        <w:numPr>
          <w:ilvl w:val="0"/>
          <w:numId w:val="1013"/>
        </w:numPr>
      </w:pPr>
      <w:r>
        <w:t xml:space="preserve">justify harm concealment.</w:t>
      </w:r>
    </w:p>
    <w:p>
      <w:pPr>
        <w:pStyle w:val="FirstParagraph"/>
      </w:pPr>
      <w:r>
        <w:t xml:space="preserve">Privacy is not immunity.</w:t>
      </w:r>
    </w:p>
    <w:p>
      <w:r>
        <w:pict>
          <v:rect style="width:0;height:1.5pt" o:hralign="center" o:hrstd="t" o:hr="t"/>
        </w:pict>
      </w:r>
    </w:p>
    <w:bookmarkEnd w:id="21"/>
    <w:bookmarkStart w:id="22" w:name="X3d67070a86d84b7d1f30f76f42531cdcff70ff6"/>
    <w:p>
      <w:pPr>
        <w:pStyle w:val="Heading2"/>
      </w:pPr>
      <w:r>
        <w:t xml:space="preserve">14.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14"/>
        </w:numPr>
      </w:pPr>
      <w:r>
        <w:t xml:space="preserve">any modification requires a new protocol identifier,</w:t>
      </w:r>
    </w:p>
    <w:p>
      <w:pPr>
        <w:pStyle w:val="Compact"/>
        <w:numPr>
          <w:ilvl w:val="0"/>
          <w:numId w:val="1014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14"/>
        </w:numPr>
      </w:pPr>
      <w:r>
        <w:t xml:space="preserve">explicit compatibility declaration with DKP-7-SCOPE-001 and DKP-7-TRANSPARENCY-001.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2026-10-04T10:23:51Z</dcterms:created>
  <dcterms:modified xsi:type="dcterms:W3CDTF">2026-10-04T10:23:51Z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