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dkp-7-transparency-001"/>
    <w:p>
      <w:pPr>
        <w:pStyle w:val="Heading1"/>
      </w:pPr>
      <w:r>
        <w:t xml:space="preserve">DKP-7-TRANSPARENCY-001</w:t>
      </w:r>
    </w:p>
    <w:p>
      <w:pPr>
        <w:pStyle w:val="FirstParagraph"/>
      </w:pPr>
      <w:r>
        <w:rPr>
          <w:i/>
          <w:iCs/>
        </w:rPr>
        <w:t xml:space="preserve">Last updated: 2026-10-04</w:t>
      </w:r>
    </w:p>
    <w:p>
      <w:pPr>
        <w:pStyle w:val="BodyText"/>
      </w:pPr>
      <w:r>
        <w:t xml:space="preserve">Transparency Protocol</w:t>
      </w:r>
    </w:p>
    <w:bookmarkStart w:id="9" w:name="Xed18480de915fb5726eab83687519cc76fbb73b"/>
    <w:p>
      <w:pPr>
        <w:pStyle w:val="Heading2"/>
      </w:pPr>
      <w:r>
        <w:t xml:space="preserve">1. Preamble</w:t>
      </w:r>
    </w:p>
    <w:p>
      <w:pPr>
        <w:pStyle w:val="FirstParagraph"/>
      </w:pPr>
      <w:r>
        <w:t xml:space="preserve">DKP-7-TRANSPARENCY-001 defines transparency as a structural integrity requirement of Dikenocracy.</w:t>
      </w:r>
    </w:p>
    <w:p>
      <w:pPr>
        <w:pStyle w:val="BodyText"/>
      </w:pPr>
      <w:r>
        <w:t xml:space="preserve">Transparency is not treated as radical openness, surveillance, or exposure of private life.</w:t>
      </w:r>
    </w:p>
    <w:p>
      <w:pPr>
        <w:pStyle w:val="BodyText"/>
      </w:pPr>
      <w:r>
        <w:t xml:space="preserve">It defines what MUST be public, what MUST remain anonymous, and how verification occurs without collapsing privacy or enabling coercion.</w:t>
      </w:r>
    </w:p>
    <w:p>
      <w:pPr>
        <w:pStyle w:val="BodyText"/>
      </w:pPr>
      <w:r>
        <w:t xml:space="preserve">This protocol exists to prevent:</w:t>
      </w:r>
    </w:p>
    <w:p>
      <w:pPr>
        <w:pStyle w:val="Compact"/>
        <w:numPr>
          <w:ilvl w:val="0"/>
          <w:numId w:val="1001"/>
        </w:numPr>
      </w:pPr>
      <w:r>
        <w:t xml:space="preserve">opaque governance,</w:t>
      </w:r>
    </w:p>
    <w:p>
      <w:pPr>
        <w:pStyle w:val="Compact"/>
        <w:numPr>
          <w:ilvl w:val="0"/>
          <w:numId w:val="1001"/>
        </w:numPr>
      </w:pPr>
      <w:r>
        <w:t xml:space="preserve">unverifiable power,</w:t>
      </w:r>
    </w:p>
    <w:p>
      <w:pPr>
        <w:pStyle w:val="Compact"/>
        <w:numPr>
          <w:ilvl w:val="0"/>
          <w:numId w:val="1001"/>
        </w:numPr>
      </w:pPr>
      <w:r>
        <w:t xml:space="preserve">identity-based coercion,</w:t>
      </w:r>
    </w:p>
    <w:p>
      <w:pPr>
        <w:pStyle w:val="Compact"/>
        <w:numPr>
          <w:ilvl w:val="0"/>
          <w:numId w:val="1001"/>
        </w:numPr>
      </w:pPr>
      <w:r>
        <w:t xml:space="preserve">false accountability through forced exposure.</w:t>
      </w:r>
    </w:p>
    <w:p>
      <w:r>
        <w:pict>
          <v:rect style="width:0;height:1.5pt" o:hralign="center" o:hrstd="t" o:hr="t"/>
        </w:pict>
      </w:r>
    </w:p>
    <w:bookmarkEnd w:id="9"/>
    <w:bookmarkStart w:id="10" w:name="X1afbb7cf017363dacdada6abb79ba2dcb78a7a4"/>
    <w:p>
      <w:pPr>
        <w:pStyle w:val="Heading2"/>
      </w:pPr>
      <w:r>
        <w:t xml:space="preserve">2. Purpose</w:t>
      </w:r>
    </w:p>
    <w:p>
      <w:pPr>
        <w:pStyle w:val="FirstParagraph"/>
      </w:pPr>
      <w:r>
        <w:t xml:space="preserve">The purpose of DKP-7-TRANSPARENCY-001 is to:</w:t>
      </w:r>
    </w:p>
    <w:p>
      <w:pPr>
        <w:pStyle w:val="Compact"/>
        <w:numPr>
          <w:ilvl w:val="0"/>
          <w:numId w:val="1002"/>
        </w:numPr>
      </w:pPr>
      <w:r>
        <w:t xml:space="preserve">ensure verifiability of system actions and outcomes,</w:t>
      </w:r>
    </w:p>
    <w:p>
      <w:pPr>
        <w:pStyle w:val="Compact"/>
        <w:numPr>
          <w:ilvl w:val="0"/>
          <w:numId w:val="1002"/>
        </w:numPr>
      </w:pPr>
      <w:r>
        <w:t xml:space="preserve">protect Subjects from surveillance or identity exposure,</w:t>
      </w:r>
    </w:p>
    <w:p>
      <w:pPr>
        <w:pStyle w:val="Compact"/>
        <w:numPr>
          <w:ilvl w:val="0"/>
          <w:numId w:val="1002"/>
        </w:numPr>
      </w:pPr>
      <w:r>
        <w:t xml:space="preserve">guarantee auditability without personal traceability,</w:t>
      </w:r>
    </w:p>
    <w:p>
      <w:pPr>
        <w:pStyle w:val="Compact"/>
        <w:numPr>
          <w:ilvl w:val="0"/>
          <w:numId w:val="1002"/>
        </w:numPr>
      </w:pPr>
      <w:r>
        <w:t xml:space="preserve">define strict separation between transparency and visibility,</w:t>
      </w:r>
    </w:p>
    <w:p>
      <w:pPr>
        <w:pStyle w:val="Compact"/>
        <w:numPr>
          <w:ilvl w:val="0"/>
          <w:numId w:val="1002"/>
        </w:numPr>
      </w:pPr>
      <w:r>
        <w:t xml:space="preserve">anchor legitimacy in verification, not disclosure.</w:t>
      </w:r>
    </w:p>
    <w:p>
      <w:r>
        <w:pict>
          <v:rect style="width:0;height:1.5pt" o:hralign="center" o:hrstd="t" o:hr="t"/>
        </w:pict>
      </w:r>
    </w:p>
    <w:bookmarkEnd w:id="10"/>
    <w:bookmarkStart w:id="11" w:name="X0680bac001f065e0466b9159bc29962af503f0e"/>
    <w:p>
      <w:pPr>
        <w:pStyle w:val="Heading2"/>
      </w:pPr>
      <w:r>
        <w:t xml:space="preserve">3. System Position</w:t>
      </w:r>
    </w:p>
    <w:p>
      <w:pPr>
        <w:pStyle w:val="FirstParagraph"/>
      </w:pPr>
      <w:r>
        <w:t xml:space="preserve">DKP-7-TRANSPARENCY-001 operates:</w:t>
      </w:r>
    </w:p>
    <w:p>
      <w:pPr>
        <w:pStyle w:val="Compact"/>
        <w:numPr>
          <w:ilvl w:val="0"/>
          <w:numId w:val="1003"/>
        </w:numPr>
      </w:pPr>
      <w:r>
        <w:t xml:space="preserve">downstream of DKP-0-ORACLE-001 (Physical Truth Layer),</w:t>
      </w:r>
    </w:p>
    <w:p>
      <w:pPr>
        <w:pStyle w:val="Compact"/>
        <w:numPr>
          <w:ilvl w:val="0"/>
          <w:numId w:val="1003"/>
        </w:numPr>
      </w:pPr>
      <w:r>
        <w:t xml:space="preserve">downstream of DKP-1-AXIOMS-001,</w:t>
      </w:r>
    </w:p>
    <w:p>
      <w:pPr>
        <w:pStyle w:val="Compact"/>
        <w:numPr>
          <w:ilvl w:val="0"/>
          <w:numId w:val="1003"/>
        </w:numPr>
      </w:pPr>
      <w:r>
        <w:t xml:space="preserve">downstream of DKP-7-SCOPE-001,</w:t>
      </w:r>
    </w:p>
    <w:p>
      <w:pPr>
        <w:pStyle w:val="Compact"/>
        <w:numPr>
          <w:ilvl w:val="0"/>
          <w:numId w:val="1003"/>
        </w:numPr>
      </w:pPr>
      <w:r>
        <w:t xml:space="preserve">upstream of DKP-8-AUDIT-001,</w:t>
      </w:r>
    </w:p>
    <w:p>
      <w:pPr>
        <w:pStyle w:val="Compact"/>
        <w:numPr>
          <w:ilvl w:val="0"/>
          <w:numId w:val="1003"/>
        </w:numPr>
      </w:pPr>
      <w:r>
        <w:t xml:space="preserve">constraining all governance, economic, informational, and enforcement layers.</w:t>
      </w:r>
    </w:p>
    <w:p>
      <w:pPr>
        <w:pStyle w:val="FirstParagraph"/>
      </w:pPr>
      <w:r>
        <w:t xml:space="preserve">This protocol SHALL NOT:</w:t>
      </w:r>
    </w:p>
    <w:p>
      <w:pPr>
        <w:pStyle w:val="Compact"/>
        <w:numPr>
          <w:ilvl w:val="0"/>
          <w:numId w:val="1004"/>
        </w:numPr>
      </w:pPr>
      <w:r>
        <w:t xml:space="preserve">mandate identity disclosure as a condition of participation,</w:t>
      </w:r>
    </w:p>
    <w:p>
      <w:pPr>
        <w:pStyle w:val="Compact"/>
        <w:numPr>
          <w:ilvl w:val="0"/>
          <w:numId w:val="1004"/>
        </w:numPr>
      </w:pPr>
      <w:r>
        <w:t xml:space="preserve">expose private life, belief, or affiliation,</w:t>
      </w:r>
    </w:p>
    <w:p>
      <w:pPr>
        <w:pStyle w:val="Compact"/>
        <w:numPr>
          <w:ilvl w:val="0"/>
          <w:numId w:val="1004"/>
        </w:numPr>
      </w:pPr>
      <w:r>
        <w:t xml:space="preserve">replace verification with reputation or popularity.</w:t>
      </w:r>
    </w:p>
    <w:p>
      <w:r>
        <w:pict>
          <v:rect style="width:0;height:1.5pt" o:hralign="center" o:hrstd="t" o:hr="t"/>
        </w:pict>
      </w:r>
    </w:p>
    <w:bookmarkEnd w:id="11"/>
    <w:bookmarkStart w:id="12" w:name="X4ec09f9d6ae1ccd71c1b9a1e7b722f8c9261977"/>
    <w:p>
      <w:pPr>
        <w:pStyle w:val="Heading2"/>
      </w:pPr>
      <w:r>
        <w:t xml:space="preserve">4. Core Distinctions</w:t>
      </w:r>
    </w:p>
    <w:p>
      <w:pPr>
        <w:pStyle w:val="Compact"/>
        <w:numPr>
          <w:ilvl w:val="0"/>
          <w:numId w:val="1005"/>
        </w:numPr>
      </w:pPr>
      <w:r>
        <w:t xml:space="preserve">Transparency — the ability to independently verify that a system action occurred and complied with protocol.</w:t>
      </w:r>
    </w:p>
    <w:p>
      <w:pPr>
        <w:pStyle w:val="Compact"/>
        <w:numPr>
          <w:ilvl w:val="0"/>
          <w:numId w:val="1005"/>
        </w:numPr>
      </w:pPr>
      <w:r>
        <w:t xml:space="preserve">Visibility — exposure of identity, personal data, or private behavior.</w:t>
      </w:r>
    </w:p>
    <w:p>
      <w:pPr>
        <w:pStyle w:val="Compact"/>
        <w:numPr>
          <w:ilvl w:val="0"/>
          <w:numId w:val="1005"/>
        </w:numPr>
      </w:pPr>
      <w:r>
        <w:t xml:space="preserve">Verification — cryptographic, physical, or procedural proof independent of trust in actors.</w:t>
      </w:r>
    </w:p>
    <w:p>
      <w:pPr>
        <w:pStyle w:val="Compact"/>
        <w:numPr>
          <w:ilvl w:val="0"/>
          <w:numId w:val="1005"/>
        </w:numPr>
      </w:pPr>
      <w:r>
        <w:t xml:space="preserve">Anonymity — the absence of linkability between a Subject and a specific action, except where explicitly required by higher axioms.</w:t>
      </w:r>
    </w:p>
    <w:p>
      <w:pPr>
        <w:pStyle w:val="FirstParagraph"/>
      </w:pPr>
      <w:r>
        <w:t xml:space="preserve">Transparency SHALL NOT imply visibility.</w:t>
      </w:r>
    </w:p>
    <w:p>
      <w:r>
        <w:pict>
          <v:rect style="width:0;height:1.5pt" o:hralign="center" o:hrstd="t" o:hr="t"/>
        </w:pict>
      </w:r>
    </w:p>
    <w:bookmarkEnd w:id="12"/>
    <w:bookmarkStart w:id="13" w:name="Xaece1f0612f93d3090d6a08aba02441a399adf1"/>
    <w:p>
      <w:pPr>
        <w:pStyle w:val="Heading2"/>
      </w:pPr>
      <w:r>
        <w:t xml:space="preserve">5. Public-by-Default Domains</w:t>
      </w:r>
    </w:p>
    <w:p>
      <w:pPr>
        <w:pStyle w:val="FirstParagraph"/>
      </w:pPr>
      <w:r>
        <w:t xml:space="preserve">The following system elements MUST be publicly transparent:</w:t>
      </w:r>
    </w:p>
    <w:p>
      <w:pPr>
        <w:pStyle w:val="Compact"/>
        <w:numPr>
          <w:ilvl w:val="0"/>
          <w:numId w:val="1006"/>
        </w:numPr>
      </w:pPr>
      <w:r>
        <w:t xml:space="preserve">protocol texts and versions,</w:t>
      </w:r>
    </w:p>
    <w:p>
      <w:pPr>
        <w:pStyle w:val="Compact"/>
        <w:numPr>
          <w:ilvl w:val="0"/>
          <w:numId w:val="1006"/>
        </w:numPr>
      </w:pPr>
      <w:r>
        <w:t xml:space="preserve">algorithmic logic and source code affecting governance,</w:t>
      </w:r>
    </w:p>
    <w:p>
      <w:pPr>
        <w:pStyle w:val="Compact"/>
        <w:numPr>
          <w:ilvl w:val="0"/>
          <w:numId w:val="1006"/>
        </w:numPr>
      </w:pPr>
      <w:r>
        <w:t xml:space="preserve">system-wide metrics and aggregate indicators,</w:t>
      </w:r>
    </w:p>
    <w:p>
      <w:pPr>
        <w:pStyle w:val="Compact"/>
        <w:numPr>
          <w:ilvl w:val="0"/>
          <w:numId w:val="1006"/>
        </w:numPr>
      </w:pPr>
      <w:r>
        <w:t xml:space="preserve">resource flows at institutional and protocol level,</w:t>
      </w:r>
    </w:p>
    <w:p>
      <w:pPr>
        <w:pStyle w:val="Compact"/>
        <w:numPr>
          <w:ilvl w:val="0"/>
          <w:numId w:val="1006"/>
        </w:numPr>
      </w:pPr>
      <w:r>
        <w:t xml:space="preserve">state transitions and execution traces.</w:t>
      </w:r>
    </w:p>
    <w:p>
      <w:pPr>
        <w:pStyle w:val="FirstParagraph"/>
      </w:pPr>
      <w:r>
        <w:t xml:space="preserve">Public transparency applies at structural and aggregate levels only.</w:t>
      </w:r>
    </w:p>
    <w:p>
      <w:r>
        <w:pict>
          <v:rect style="width:0;height:1.5pt" o:hralign="center" o:hrstd="t" o:hr="t"/>
        </w:pict>
      </w:r>
    </w:p>
    <w:bookmarkEnd w:id="13"/>
    <w:bookmarkStart w:id="14" w:name="X409e7126c6807ad385059f83206acf0b0226fec"/>
    <w:p>
      <w:pPr>
        <w:pStyle w:val="Heading2"/>
      </w:pPr>
      <w:r>
        <w:t xml:space="preserve">6. Protected-by-Default Domains</w:t>
      </w:r>
    </w:p>
    <w:p>
      <w:pPr>
        <w:pStyle w:val="FirstParagraph"/>
      </w:pPr>
      <w:r>
        <w:t xml:space="preserve">The following domains MUST remain anonymous or privacy-protected:</w:t>
      </w:r>
    </w:p>
    <w:p>
      <w:pPr>
        <w:pStyle w:val="Compact"/>
        <w:numPr>
          <w:ilvl w:val="0"/>
          <w:numId w:val="1007"/>
        </w:numPr>
      </w:pPr>
      <w:r>
        <w:t xml:space="preserve">individual identity data,</w:t>
      </w:r>
    </w:p>
    <w:p>
      <w:pPr>
        <w:pStyle w:val="Compact"/>
        <w:numPr>
          <w:ilvl w:val="0"/>
          <w:numId w:val="1007"/>
        </w:numPr>
      </w:pPr>
      <w:r>
        <w:t xml:space="preserve">personal belief, opinion, or cultural affiliation,</w:t>
      </w:r>
    </w:p>
    <w:p>
      <w:pPr>
        <w:pStyle w:val="Compact"/>
        <w:numPr>
          <w:ilvl w:val="0"/>
          <w:numId w:val="1007"/>
        </w:numPr>
      </w:pPr>
      <w:r>
        <w:t xml:space="preserve">private communications,</w:t>
      </w:r>
    </w:p>
    <w:p>
      <w:pPr>
        <w:pStyle w:val="Compact"/>
        <w:numPr>
          <w:ilvl w:val="0"/>
          <w:numId w:val="1007"/>
        </w:numPr>
      </w:pPr>
      <w:r>
        <w:t xml:space="preserve">individual behavioral histories absent verified harm.</w:t>
      </w:r>
    </w:p>
    <w:p>
      <w:pPr>
        <w:pStyle w:val="FirstParagraph"/>
      </w:pPr>
      <w:r>
        <w:t xml:space="preserve">No protocol may downgrade these protections without explicit Scope authorization.</w:t>
      </w:r>
    </w:p>
    <w:p>
      <w:r>
        <w:pict>
          <v:rect style="width:0;height:1.5pt" o:hralign="center" o:hrstd="t" o:hr="t"/>
        </w:pict>
      </w:r>
    </w:p>
    <w:bookmarkEnd w:id="14"/>
    <w:bookmarkStart w:id="15" w:name="X06f4b118170c52e7c48e41d388bf3d01c1fc44b"/>
    <w:p>
      <w:pPr>
        <w:pStyle w:val="Heading2"/>
      </w:pPr>
      <w:r>
        <w:t xml:space="preserve">7. Verification Without Identity</w:t>
      </w:r>
    </w:p>
    <w:p>
      <w:pPr>
        <w:pStyle w:val="FirstParagraph"/>
      </w:pPr>
      <w:r>
        <w:t xml:space="preserve">Verification of actions SHALL rely on:</w:t>
      </w:r>
    </w:p>
    <w:p>
      <w:pPr>
        <w:pStyle w:val="Compact"/>
        <w:numPr>
          <w:ilvl w:val="0"/>
          <w:numId w:val="1008"/>
        </w:numPr>
      </w:pPr>
      <w:r>
        <w:t xml:space="preserve">cryptographic proofs,</w:t>
      </w:r>
    </w:p>
    <w:p>
      <w:pPr>
        <w:pStyle w:val="Compact"/>
        <w:numPr>
          <w:ilvl w:val="0"/>
          <w:numId w:val="1008"/>
        </w:numPr>
      </w:pPr>
      <w:r>
        <w:t xml:space="preserve">zero-knowledge attestations,</w:t>
      </w:r>
    </w:p>
    <w:p>
      <w:pPr>
        <w:pStyle w:val="Compact"/>
        <w:numPr>
          <w:ilvl w:val="0"/>
          <w:numId w:val="1008"/>
        </w:numPr>
      </w:pPr>
      <w:r>
        <w:t xml:space="preserve">PTL-anchored measurements,</w:t>
      </w:r>
    </w:p>
    <w:p>
      <w:pPr>
        <w:pStyle w:val="Compact"/>
        <w:numPr>
          <w:ilvl w:val="0"/>
          <w:numId w:val="1008"/>
        </w:numPr>
      </w:pPr>
      <w:r>
        <w:t xml:space="preserve">reproducible execution traces.</w:t>
      </w:r>
    </w:p>
    <w:p>
      <w:pPr>
        <w:pStyle w:val="FirstParagraph"/>
      </w:pPr>
      <w:r>
        <w:t xml:space="preserve">Identity disclosure SHALL NOT be required unless:</w:t>
      </w:r>
    </w:p>
    <w:p>
      <w:pPr>
        <w:pStyle w:val="Compact"/>
        <w:numPr>
          <w:ilvl w:val="0"/>
          <w:numId w:val="1009"/>
        </w:numPr>
      </w:pPr>
      <w:r>
        <w:t xml:space="preserve">explicitly mandated by DKP-1-AXIOMS-001,</w:t>
      </w:r>
    </w:p>
    <w:p>
      <w:pPr>
        <w:pStyle w:val="Compact"/>
        <w:numPr>
          <w:ilvl w:val="0"/>
          <w:numId w:val="1009"/>
        </w:numPr>
      </w:pPr>
      <w:r>
        <w:t xml:space="preserve">or required to attribute verified harm under justice protocols.</w:t>
      </w:r>
    </w:p>
    <w:p>
      <w:r>
        <w:pict>
          <v:rect style="width:0;height:1.5pt" o:hralign="center" o:hrstd="t" o:hr="t"/>
        </w:pict>
      </w:r>
    </w:p>
    <w:bookmarkEnd w:id="15"/>
    <w:bookmarkStart w:id="16" w:name="Xe6dbb72f8d48e033a345b38847dc8482779a68d"/>
    <w:p>
      <w:pPr>
        <w:pStyle w:val="Heading2"/>
      </w:pPr>
      <w:r>
        <w:t xml:space="preserve">8. Conditional De-Anonymization</w:t>
      </w:r>
    </w:p>
    <w:p>
      <w:pPr>
        <w:pStyle w:val="FirstParagraph"/>
      </w:pPr>
      <w:r>
        <w:t xml:space="preserve">De-anonymization MAY occur only when:</w:t>
      </w:r>
    </w:p>
    <w:p>
      <w:pPr>
        <w:pStyle w:val="Compact"/>
        <w:numPr>
          <w:ilvl w:val="0"/>
          <w:numId w:val="1010"/>
        </w:numPr>
      </w:pPr>
      <w:r>
        <w:t xml:space="preserve">material harm is PTL-verified,</w:t>
      </w:r>
    </w:p>
    <w:p>
      <w:pPr>
        <w:pStyle w:val="Compact"/>
        <w:numPr>
          <w:ilvl w:val="0"/>
          <w:numId w:val="1010"/>
        </w:numPr>
      </w:pPr>
      <w:r>
        <w:t xml:space="preserve">causal attribution is required for restitution or containment,</w:t>
      </w:r>
    </w:p>
    <w:p>
      <w:pPr>
        <w:pStyle w:val="Compact"/>
        <w:numPr>
          <w:ilvl w:val="0"/>
          <w:numId w:val="1010"/>
        </w:numPr>
      </w:pPr>
      <w:r>
        <w:t xml:space="preserve">no anonymous remediation path exists.</w:t>
      </w:r>
    </w:p>
    <w:p>
      <w:pPr>
        <w:pStyle w:val="FirstParagraph"/>
      </w:pPr>
      <w:r>
        <w:t xml:space="preserve">Any de-anonymization:</w:t>
      </w:r>
    </w:p>
    <w:p>
      <w:pPr>
        <w:pStyle w:val="Compact"/>
        <w:numPr>
          <w:ilvl w:val="0"/>
          <w:numId w:val="1011"/>
        </w:numPr>
      </w:pPr>
      <w:r>
        <w:t xml:space="preserve">MUST be minimal,</w:t>
      </w:r>
    </w:p>
    <w:p>
      <w:pPr>
        <w:pStyle w:val="Compact"/>
        <w:numPr>
          <w:ilvl w:val="0"/>
          <w:numId w:val="1011"/>
        </w:numPr>
      </w:pPr>
      <w:r>
        <w:t xml:space="preserve">MUST be time-bound,</w:t>
      </w:r>
    </w:p>
    <w:p>
      <w:pPr>
        <w:pStyle w:val="Compact"/>
        <w:numPr>
          <w:ilvl w:val="0"/>
          <w:numId w:val="1011"/>
        </w:numPr>
      </w:pPr>
      <w:r>
        <w:t xml:space="preserve">MUST be auditable,</w:t>
      </w:r>
    </w:p>
    <w:p>
      <w:pPr>
        <w:pStyle w:val="Compact"/>
        <w:numPr>
          <w:ilvl w:val="0"/>
          <w:numId w:val="1011"/>
        </w:numPr>
      </w:pPr>
      <w:r>
        <w:t xml:space="preserve">SHALL NOT propagate beyond the specific case.</w:t>
      </w:r>
    </w:p>
    <w:p>
      <w:r>
        <w:pict>
          <v:rect style="width:0;height:1.5pt" o:hralign="center" o:hrstd="t" o:hr="t"/>
        </w:pict>
      </w:r>
    </w:p>
    <w:bookmarkEnd w:id="16"/>
    <w:bookmarkStart w:id="17" w:name="X99231f9d776f55fc9520d057a8038c0b51f29b4"/>
    <w:p>
      <w:pPr>
        <w:pStyle w:val="Heading2"/>
      </w:pPr>
      <w:r>
        <w:t xml:space="preserve">9. Prohibited Practices</w:t>
      </w:r>
    </w:p>
    <w:p>
      <w:pPr>
        <w:pStyle w:val="FirstParagraph"/>
      </w:pPr>
      <w:r>
        <w:t xml:space="preserve">The following are explicitly forbidden:</w:t>
      </w:r>
    </w:p>
    <w:p>
      <w:pPr>
        <w:pStyle w:val="Compact"/>
        <w:numPr>
          <w:ilvl w:val="0"/>
          <w:numId w:val="1012"/>
        </w:numPr>
      </w:pPr>
      <w:r>
        <w:t xml:space="preserve">mass surveillance,</w:t>
      </w:r>
    </w:p>
    <w:p>
      <w:pPr>
        <w:pStyle w:val="Compact"/>
        <w:numPr>
          <w:ilvl w:val="0"/>
          <w:numId w:val="1012"/>
        </w:numPr>
      </w:pPr>
      <w:r>
        <w:t xml:space="preserve">identity-based scoring or profiling,</w:t>
      </w:r>
    </w:p>
    <w:p>
      <w:pPr>
        <w:pStyle w:val="Compact"/>
        <w:numPr>
          <w:ilvl w:val="0"/>
          <w:numId w:val="1012"/>
        </w:numPr>
      </w:pPr>
      <w:r>
        <w:t xml:space="preserve">forced transparency as punishment,</w:t>
      </w:r>
    </w:p>
    <w:p>
      <w:pPr>
        <w:pStyle w:val="Compact"/>
        <w:numPr>
          <w:ilvl w:val="0"/>
          <w:numId w:val="1012"/>
        </w:numPr>
      </w:pPr>
      <w:r>
        <w:t xml:space="preserve">linking unrelated datasets to infer identity,</w:t>
      </w:r>
    </w:p>
    <w:p>
      <w:pPr>
        <w:pStyle w:val="Compact"/>
        <w:numPr>
          <w:ilvl w:val="0"/>
          <w:numId w:val="1012"/>
        </w:numPr>
      </w:pPr>
      <w:r>
        <w:t xml:space="preserve">using transparency mechanisms for social control.</w:t>
      </w:r>
    </w:p>
    <w:p>
      <w:r>
        <w:pict>
          <v:rect style="width:0;height:1.5pt" o:hralign="center" o:hrstd="t" o:hr="t"/>
        </w:pict>
      </w:r>
    </w:p>
    <w:bookmarkEnd w:id="17"/>
    <w:bookmarkStart w:id="18" w:name="Xd128aa012312c936fcc6f25083752d05559dbf7"/>
    <w:p>
      <w:pPr>
        <w:pStyle w:val="Heading2"/>
      </w:pPr>
      <w:r>
        <w:t xml:space="preserve">10. Transparency in Crisis and Exception</w:t>
      </w:r>
    </w:p>
    <w:p>
      <w:pPr>
        <w:pStyle w:val="FirstParagraph"/>
      </w:pPr>
      <w:r>
        <w:t xml:space="preserve">During Crisis Scope activation:</w:t>
      </w:r>
    </w:p>
    <w:p>
      <w:pPr>
        <w:pStyle w:val="Compact"/>
        <w:numPr>
          <w:ilvl w:val="0"/>
          <w:numId w:val="1013"/>
        </w:numPr>
      </w:pPr>
      <w:r>
        <w:t xml:space="preserve">transparency of actions and decisions SHALL increase,</w:t>
      </w:r>
    </w:p>
    <w:p>
      <w:pPr>
        <w:pStyle w:val="Compact"/>
        <w:numPr>
          <w:ilvl w:val="0"/>
          <w:numId w:val="1013"/>
        </w:numPr>
      </w:pPr>
      <w:r>
        <w:t xml:space="preserve">identity exposure SHALL NOT increase by default.</w:t>
      </w:r>
    </w:p>
    <w:p>
      <w:pPr>
        <w:pStyle w:val="FirstParagraph"/>
      </w:pPr>
      <w:r>
        <w:t xml:space="preserve">Emergency measures MUST be logged and reviewable post-facto.</w:t>
      </w:r>
    </w:p>
    <w:p>
      <w:pPr>
        <w:pStyle w:val="BodyText"/>
      </w:pPr>
      <w:r>
        <w:t xml:space="preserve">No crisis may justify permanent transparency expansion.</w:t>
      </w:r>
    </w:p>
    <w:p>
      <w:r>
        <w:pict>
          <v:rect style="width:0;height:1.5pt" o:hralign="center" o:hrstd="t" o:hr="t"/>
        </w:pict>
      </w:r>
    </w:p>
    <w:bookmarkEnd w:id="18"/>
    <w:bookmarkStart w:id="19" w:name="X1284ba4125327469bf970e8cf3d8f1811575da3"/>
    <w:p>
      <w:pPr>
        <w:pStyle w:val="Heading2"/>
      </w:pPr>
      <w:r>
        <w:t xml:space="preserve">11. Interface Transparency</w:t>
      </w:r>
    </w:p>
    <w:p>
      <w:pPr>
        <w:pStyle w:val="FirstParagraph"/>
      </w:pPr>
      <w:r>
        <w:t xml:space="preserve">Human–system interfaces MUST:</w:t>
      </w:r>
    </w:p>
    <w:p>
      <w:pPr>
        <w:pStyle w:val="Compact"/>
        <w:numPr>
          <w:ilvl w:val="0"/>
          <w:numId w:val="1014"/>
        </w:numPr>
      </w:pPr>
      <w:r>
        <w:t xml:space="preserve">explain why an action occurred,</w:t>
      </w:r>
    </w:p>
    <w:p>
      <w:pPr>
        <w:pStyle w:val="Compact"/>
        <w:numPr>
          <w:ilvl w:val="0"/>
          <w:numId w:val="1014"/>
        </w:numPr>
      </w:pPr>
      <w:r>
        <w:t xml:space="preserve">expose applicable protocol references,</w:t>
      </w:r>
    </w:p>
    <w:p>
      <w:pPr>
        <w:pStyle w:val="Compact"/>
        <w:numPr>
          <w:ilvl w:val="0"/>
          <w:numId w:val="1014"/>
        </w:numPr>
      </w:pPr>
      <w:r>
        <w:t xml:space="preserve">allow independent verification of outcomes,</w:t>
      </w:r>
    </w:p>
    <w:p>
      <w:pPr>
        <w:pStyle w:val="Compact"/>
        <w:numPr>
          <w:ilvl w:val="0"/>
          <w:numId w:val="1014"/>
        </w:numPr>
      </w:pPr>
      <w:r>
        <w:t xml:space="preserve">avoid persuasive or manipulative framing.</w:t>
      </w:r>
    </w:p>
    <w:p>
      <w:pPr>
        <w:pStyle w:val="FirstParagraph"/>
      </w:pPr>
      <w:r>
        <w:t xml:space="preserve">Interfaces SHALL inform, not convince.</w:t>
      </w:r>
    </w:p>
    <w:p>
      <w:r>
        <w:pict>
          <v:rect style="width:0;height:1.5pt" o:hralign="center" o:hrstd="t" o:hr="t"/>
        </w:pict>
      </w:r>
    </w:p>
    <w:bookmarkEnd w:id="19"/>
    <w:bookmarkStart w:id="20" w:name="Xb274db357cca0f97ba559446782a20940ab3296"/>
    <w:p>
      <w:pPr>
        <w:pStyle w:val="Heading2"/>
      </w:pPr>
      <w:r>
        <w:t xml:space="preserve">12. Audit Hooks</w:t>
      </w:r>
    </w:p>
    <w:p>
      <w:pPr>
        <w:pStyle w:val="FirstParagraph"/>
      </w:pPr>
      <w:r>
        <w:t xml:space="preserve">All transparency mechanisms:</w:t>
      </w:r>
    </w:p>
    <w:p>
      <w:pPr>
        <w:pStyle w:val="Compact"/>
        <w:numPr>
          <w:ilvl w:val="0"/>
          <w:numId w:val="1015"/>
        </w:numPr>
      </w:pPr>
      <w:r>
        <w:t xml:space="preserve">MUST expose hooks for DKP-8-AUDIT-001,</w:t>
      </w:r>
    </w:p>
    <w:p>
      <w:pPr>
        <w:pStyle w:val="Compact"/>
        <w:numPr>
          <w:ilvl w:val="0"/>
          <w:numId w:val="1015"/>
        </w:numPr>
      </w:pPr>
      <w:r>
        <w:t xml:space="preserve">MUST preserve historical records,</w:t>
      </w:r>
    </w:p>
    <w:p>
      <w:pPr>
        <w:pStyle w:val="Compact"/>
        <w:numPr>
          <w:ilvl w:val="0"/>
          <w:numId w:val="1015"/>
        </w:numPr>
      </w:pPr>
      <w:r>
        <w:t xml:space="preserve">MAY aggregate data to protect privacy.</w:t>
      </w:r>
    </w:p>
    <w:p>
      <w:pPr>
        <w:pStyle w:val="FirstParagraph"/>
      </w:pPr>
      <w:r>
        <w:t xml:space="preserve">Auditability SHALL NOT require identity exposure.</w:t>
      </w:r>
    </w:p>
    <w:p>
      <w:r>
        <w:pict>
          <v:rect style="width:0;height:1.5pt" o:hralign="center" o:hrstd="t" o:hr="t"/>
        </w:pict>
      </w:r>
    </w:p>
    <w:bookmarkEnd w:id="20"/>
    <w:bookmarkStart w:id="21" w:name="X1bef3c012e59e0c099bd55e6f722fd37163e889"/>
    <w:p>
      <w:pPr>
        <w:pStyle w:val="Heading2"/>
      </w:pPr>
      <w:r>
        <w:t xml:space="preserve">13. Scope Limitations</w:t>
      </w:r>
    </w:p>
    <w:p>
      <w:pPr>
        <w:pStyle w:val="FirstParagraph"/>
      </w:pPr>
      <w:r>
        <w:t xml:space="preserve">DKP-7-TRANSPARENCY-001 SHALL NOT:</w:t>
      </w:r>
    </w:p>
    <w:p>
      <w:pPr>
        <w:pStyle w:val="Compact"/>
        <w:numPr>
          <w:ilvl w:val="0"/>
          <w:numId w:val="1016"/>
        </w:numPr>
      </w:pPr>
      <w:r>
        <w:t xml:space="preserve">define moral accountability,</w:t>
      </w:r>
    </w:p>
    <w:p>
      <w:pPr>
        <w:pStyle w:val="Compact"/>
        <w:numPr>
          <w:ilvl w:val="0"/>
          <w:numId w:val="1016"/>
        </w:numPr>
      </w:pPr>
      <w:r>
        <w:t xml:space="preserve">replace justice attribution,</w:t>
      </w:r>
    </w:p>
    <w:p>
      <w:pPr>
        <w:pStyle w:val="Compact"/>
        <w:numPr>
          <w:ilvl w:val="0"/>
          <w:numId w:val="1016"/>
        </w:numPr>
      </w:pPr>
      <w:r>
        <w:t xml:space="preserve">override cultural or informational protections,</w:t>
      </w:r>
    </w:p>
    <w:p>
      <w:pPr>
        <w:pStyle w:val="Compact"/>
        <w:numPr>
          <w:ilvl w:val="0"/>
          <w:numId w:val="1016"/>
        </w:numPr>
      </w:pPr>
      <w:r>
        <w:t xml:space="preserve">expand system scope.</w:t>
      </w:r>
    </w:p>
    <w:p>
      <w:pPr>
        <w:pStyle w:val="FirstParagraph"/>
      </w:pPr>
      <w:r>
        <w:t xml:space="preserve">Transparency enforces verifiability, not control.</w:t>
      </w:r>
    </w:p>
    <w:p>
      <w:r>
        <w:pict>
          <v:rect style="width:0;height:1.5pt" o:hralign="center" o:hrstd="t" o:hr="t"/>
        </w:pict>
      </w:r>
    </w:p>
    <w:bookmarkEnd w:id="21"/>
    <w:bookmarkStart w:id="22" w:name="X3d67070a86d84b7d1f30f76f42531cdcff70ff6"/>
    <w:p>
      <w:pPr>
        <w:pStyle w:val="Heading2"/>
      </w:pPr>
      <w:r>
        <w:t xml:space="preserve">14. Finality Clause</w:t>
      </w:r>
    </w:p>
    <w:p>
      <w:pPr>
        <w:pStyle w:val="FirstParagraph"/>
      </w:pPr>
      <w:r>
        <w:t xml:space="preserve">This protocol is changed only through the controlled procedure of DKP-4-UPGRADE-001: proposal, simulation under DKP-8-SIMULATION-001, audit under DKP-8-AUDIT-001, acceptance conditions, activation window and rollback.</w:t>
      </w:r>
    </w:p>
    <w:p>
      <w:pPr>
        <w:pStyle w:val="BodyText"/>
      </w:pPr>
      <w:r>
        <w:t xml:space="preserve">In addition:</w:t>
      </w:r>
    </w:p>
    <w:p>
      <w:pPr>
        <w:pStyle w:val="Compact"/>
        <w:numPr>
          <w:ilvl w:val="0"/>
          <w:numId w:val="1017"/>
        </w:numPr>
      </w:pPr>
      <w:r>
        <w:t xml:space="preserve">any modification requires a new protocol identifier,</w:t>
      </w:r>
    </w:p>
    <w:p>
      <w:pPr>
        <w:pStyle w:val="Compact"/>
        <w:numPr>
          <w:ilvl w:val="0"/>
          <w:numId w:val="1017"/>
        </w:numPr>
      </w:pPr>
      <w:r>
        <w:t xml:space="preserve">mandatory compatibility declaration with DKP-7-SCOPE-001 and DKP-8-AUDIT-001.</w:t>
      </w:r>
    </w:p>
    <w:p>
      <w:pPr>
        <w:pStyle w:val="FirstParagraph"/>
      </w:pPr>
      <w:r>
        <w:t xml:space="preserve">Presentation-only corrections that do not change normative content are not Upgrades (DKP-4-UPGRADE-001 §3); they are recorded only by the "Last updated" date of this document.</w:t>
      </w:r>
    </w:p>
    <w:p>
      <w:pPr>
        <w:pStyle w:val="BodyText"/>
      </w:pPr>
      <w:r>
        <w:t xml:space="preserve">Edition integrity: the SHA-256 digest of the canonical source of each published edition is listed in</w:t>
      </w:r>
      <w:r>
        <w:t xml:space="preserve"> </w:t>
      </w:r>
      <w:r>
        <w:rPr>
          <w:rStyle w:val="VerbatimChar"/>
        </w:rPr>
        <w:t xml:space="preserve">SHA256SUMS.txt</w:t>
      </w:r>
      <w:r>
        <w:t xml:space="preserve"> </w:t>
      </w:r>
      <w:r>
        <w:t xml:space="preserve">of the canonical repository (github.com/anahronic/World).</w:t>
      </w:r>
    </w:p>
    <w:p>
      <w:pPr>
        <w:pStyle w:val="BodyText"/>
      </w:pPr>
      <w:r>
        <w:t xml:space="preserve">END OF PROTOCOL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2026-10-04T10:23:51Z</dcterms:created>
  <dcterms:modified xsi:type="dcterms:W3CDTF">2026-10-04T10:23:51Z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