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kp-8-interop-001"/>
    <w:p>
      <w:pPr>
        <w:pStyle w:val="Heading1"/>
      </w:pPr>
      <w:r>
        <w:t xml:space="preserve">DKP-8-INTEROP-001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Interoperability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4"/>
      </w:pPr>
      <w:r>
        <w:t xml:space="preserve">0. Preamble</w:t>
      </w:r>
    </w:p>
    <w:p>
      <w:pPr>
        <w:pStyle w:val="FirstParagraph"/>
      </w:pPr>
      <w:r>
        <w:t xml:space="preserve">DKP-8-INTEROP-001 defines how the Dikenocracy system interfaces with</w:t>
      </w:r>
      <w:r>
        <w:t xml:space="preserve"> </w:t>
      </w:r>
      <w:r>
        <w:rPr>
          <w:b/>
          <w:bCs/>
        </w:rPr>
        <w:t xml:space="preserve">external legal, economic, technical, and informational systems</w:t>
      </w:r>
      <w:r>
        <w:t xml:space="preserve"> </w:t>
      </w:r>
      <w:r>
        <w:t xml:space="preserve">that do not operate under DKP governance.</w:t>
      </w:r>
    </w:p>
    <w:p>
      <w:pPr>
        <w:pStyle w:val="BodyText"/>
      </w:pPr>
      <w:r>
        <w:t xml:space="preserve">This protocol exists to ensure:</w:t>
      </w:r>
    </w:p>
    <w:p>
      <w:pPr>
        <w:pStyle w:val="Compact"/>
        <w:numPr>
          <w:ilvl w:val="0"/>
          <w:numId w:val="1001"/>
        </w:numPr>
      </w:pPr>
      <w:r>
        <w:t xml:space="preserve">compatibility without capture,</w:t>
      </w:r>
    </w:p>
    <w:p>
      <w:pPr>
        <w:pStyle w:val="Compact"/>
        <w:numPr>
          <w:ilvl w:val="0"/>
          <w:numId w:val="1001"/>
        </w:numPr>
      </w:pPr>
      <w:r>
        <w:t xml:space="preserve">interaction without authority leakage,</w:t>
      </w:r>
    </w:p>
    <w:p>
      <w:pPr>
        <w:pStyle w:val="Compact"/>
        <w:numPr>
          <w:ilvl w:val="0"/>
          <w:numId w:val="1001"/>
        </w:numPr>
      </w:pPr>
      <w:r>
        <w:t xml:space="preserve">exchange without normative contamination.</w:t>
      </w:r>
    </w:p>
    <w:p>
      <w:pPr>
        <w:pStyle w:val="FirstParagraph"/>
      </w:pPr>
      <w:r>
        <w:t xml:space="preserve">Interoperability under DKP is</w:t>
      </w:r>
      <w:r>
        <w:t xml:space="preserve"> </w:t>
      </w:r>
      <w:r>
        <w:rPr>
          <w:b/>
          <w:bCs/>
        </w:rPr>
        <w:t xml:space="preserve">translation, not submission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4"/>
      </w:pPr>
      <w:r>
        <w:t xml:space="preserve">1. Purpose</w:t>
      </w:r>
    </w:p>
    <w:p>
      <w:pPr>
        <w:pStyle w:val="FirstParagraph"/>
      </w:pPr>
      <w:r>
        <w:t xml:space="preserve">The purpose of DKP-8-INTEROP-001 is to:</w:t>
      </w:r>
    </w:p>
    <w:p>
      <w:pPr>
        <w:pStyle w:val="Compact"/>
        <w:numPr>
          <w:ilvl w:val="0"/>
          <w:numId w:val="1002"/>
        </w:numPr>
      </w:pPr>
      <w:r>
        <w:t xml:space="preserve">define safe interaction boundaries with non-DKP systems,</w:t>
      </w:r>
    </w:p>
    <w:p>
      <w:pPr>
        <w:pStyle w:val="Compact"/>
        <w:numPr>
          <w:ilvl w:val="0"/>
          <w:numId w:val="1002"/>
        </w:numPr>
      </w:pPr>
      <w:r>
        <w:t xml:space="preserve">ensure deterministic translation between DKP and external regimes,</w:t>
      </w:r>
    </w:p>
    <w:p>
      <w:pPr>
        <w:pStyle w:val="Compact"/>
        <w:numPr>
          <w:ilvl w:val="0"/>
          <w:numId w:val="1002"/>
        </w:numPr>
      </w:pPr>
      <w:r>
        <w:t xml:space="preserve">prevent implicit authority transfer through integration layers,</w:t>
      </w:r>
    </w:p>
    <w:p>
      <w:pPr>
        <w:pStyle w:val="Compact"/>
        <w:numPr>
          <w:ilvl w:val="0"/>
          <w:numId w:val="1002"/>
        </w:numPr>
      </w:pPr>
      <w:r>
        <w:t xml:space="preserve">preserve DKP axioms, scope, and invariants under external coupling.</w:t>
      </w:r>
    </w:p>
    <w:p>
      <w:pPr>
        <w:pStyle w:val="FirstParagraph"/>
      </w:pPr>
      <w:r>
        <w:t xml:space="preserve">This protocol does NOT:</w:t>
      </w:r>
    </w:p>
    <w:p>
      <w:pPr>
        <w:pStyle w:val="Compact"/>
        <w:numPr>
          <w:ilvl w:val="0"/>
          <w:numId w:val="1003"/>
        </w:numPr>
      </w:pPr>
      <w:r>
        <w:t xml:space="preserve">harmonize legal systems,</w:t>
      </w:r>
    </w:p>
    <w:p>
      <w:pPr>
        <w:pStyle w:val="Compact"/>
        <w:numPr>
          <w:ilvl w:val="0"/>
          <w:numId w:val="1003"/>
        </w:numPr>
      </w:pPr>
      <w:r>
        <w:t xml:space="preserve">enforce DKP externally,</w:t>
      </w:r>
    </w:p>
    <w:p>
      <w:pPr>
        <w:pStyle w:val="Compact"/>
        <w:numPr>
          <w:ilvl w:val="0"/>
          <w:numId w:val="1003"/>
        </w:numPr>
      </w:pPr>
      <w:r>
        <w:t xml:space="preserve">accept external norms as binding within DKP.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4"/>
      </w:pPr>
      <w:r>
        <w:t xml:space="preserve">2. System Position</w:t>
      </w:r>
    </w:p>
    <w:p>
      <w:pPr>
        <w:pStyle w:val="FirstParagraph"/>
      </w:pPr>
      <w:r>
        <w:t xml:space="preserve">DKP-8-INTEROP-001 operates:</w:t>
      </w:r>
    </w:p>
    <w:p>
      <w:pPr>
        <w:pStyle w:val="Compact"/>
        <w:numPr>
          <w:ilvl w:val="0"/>
          <w:numId w:val="1004"/>
        </w:numPr>
      </w:pPr>
      <w:r>
        <w:t xml:space="preserve">downstream of DKP-1-AXIOMS-001,</w:t>
      </w:r>
    </w:p>
    <w:p>
      <w:pPr>
        <w:pStyle w:val="Compact"/>
        <w:numPr>
          <w:ilvl w:val="0"/>
          <w:numId w:val="1004"/>
        </w:numPr>
      </w:pPr>
      <w:r>
        <w:t xml:space="preserve">downstream of DKP-7-SCOPE-001,</w:t>
      </w:r>
    </w:p>
    <w:p>
      <w:pPr>
        <w:pStyle w:val="Compact"/>
        <w:numPr>
          <w:ilvl w:val="0"/>
          <w:numId w:val="1004"/>
        </w:numPr>
      </w:pPr>
      <w:r>
        <w:t xml:space="preserve">downstream of DKP-8-SIMULATION-001,</w:t>
      </w:r>
    </w:p>
    <w:p>
      <w:pPr>
        <w:pStyle w:val="Compact"/>
        <w:numPr>
          <w:ilvl w:val="0"/>
          <w:numId w:val="1004"/>
        </w:numPr>
      </w:pPr>
      <w:r>
        <w:t xml:space="preserve">downstream of DKP-8-AUDIT-001,</w:t>
      </w:r>
    </w:p>
    <w:p>
      <w:pPr>
        <w:pStyle w:val="Compact"/>
        <w:numPr>
          <w:ilvl w:val="0"/>
          <w:numId w:val="1004"/>
        </w:numPr>
      </w:pPr>
      <w:r>
        <w:t xml:space="preserve">parallel to DKP-6-INTEGRATION-001 and DKP-6-EXIT-001.</w:t>
      </w:r>
    </w:p>
    <w:p>
      <w:pPr>
        <w:pStyle w:val="FirstParagraph"/>
      </w:pPr>
      <w:r>
        <w:t xml:space="preserve">This protocol is</w:t>
      </w:r>
      <w:r>
        <w:t xml:space="preserve"> </w:t>
      </w:r>
      <w:r>
        <w:rPr>
          <w:b/>
          <w:bCs/>
        </w:rPr>
        <w:t xml:space="preserve">purely translational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4"/>
      </w:pPr>
      <w:r>
        <w:t xml:space="preserve">3. Definitions</w:t>
      </w:r>
    </w:p>
    <w:p>
      <w:pPr>
        <w:pStyle w:val="FirstParagraph"/>
      </w:pPr>
      <w:r>
        <w:rPr>
          <w:b/>
          <w:bCs/>
        </w:rPr>
        <w:t xml:space="preserve">External System</w:t>
      </w:r>
      <w:r>
        <w:t xml:space="preserve"> </w:t>
      </w:r>
      <w:r>
        <w:t xml:space="preserve">— any legal, economic, technical, or informational system not governed by DKP protocols.</w:t>
      </w:r>
    </w:p>
    <w:p>
      <w:pPr>
        <w:pStyle w:val="BodyText"/>
      </w:pPr>
      <w:r>
        <w:rPr>
          <w:b/>
          <w:bCs/>
        </w:rPr>
        <w:t xml:space="preserve">Interop Boundary</w:t>
      </w:r>
      <w:r>
        <w:t xml:space="preserve"> </w:t>
      </w:r>
      <w:r>
        <w:t xml:space="preserve">— a formally defined interface where DKP state interacts with an external system.</w:t>
      </w:r>
    </w:p>
    <w:p>
      <w:pPr>
        <w:pStyle w:val="BodyText"/>
      </w:pPr>
      <w:r>
        <w:rPr>
          <w:b/>
          <w:bCs/>
        </w:rPr>
        <w:t xml:space="preserve">Translation Layer</w:t>
      </w:r>
      <w:r>
        <w:t xml:space="preserve"> </w:t>
      </w:r>
      <w:r>
        <w:t xml:space="preserve">— deterministic mapping between DKP-native representations and external representations.</w:t>
      </w:r>
    </w:p>
    <w:p>
      <w:pPr>
        <w:pStyle w:val="BodyText"/>
      </w:pPr>
      <w:r>
        <w:rPr>
          <w:b/>
          <w:bCs/>
        </w:rPr>
        <w:t xml:space="preserve">Normative Leakage</w:t>
      </w:r>
      <w:r>
        <w:t xml:space="preserve"> </w:t>
      </w:r>
      <w:r>
        <w:t xml:space="preserve">— implicit import of external authority, norms, or obligations into DKP without explicit protocol authorization.</w:t>
      </w:r>
    </w:p>
    <w:p>
      <w:r>
        <w:pict>
          <v:rect style="width:0;height:1.5pt" o:hralign="center" o:hrstd="t" o:hr="t"/>
        </w:pict>
      </w:r>
    </w:p>
    <w:bookmarkEnd w:id="12"/>
    <w:bookmarkStart w:id="13" w:name="Xda0df7b42b6a7bdbfaa9427893b2d4548573809"/>
    <w:p>
      <w:pPr>
        <w:pStyle w:val="Heading4"/>
      </w:pPr>
      <w:r>
        <w:t xml:space="preserve">4. Interoperability Invariants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Axiomatic Supremacy</w:t>
      </w:r>
      <w:r>
        <w:t xml:space="preserve"> </w:t>
      </w:r>
      <w:r>
        <w:t xml:space="preserve">No external system MAY override or reinterpret DKP axioms under any interoperability mechanism.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b/>
          <w:bCs/>
        </w:rPr>
        <w:t xml:space="preserve">Scope Preservation</w:t>
      </w:r>
      <w:r>
        <w:t xml:space="preserve"> </w:t>
      </w:r>
      <w:r>
        <w:t xml:space="preserve">Interop SHALL NOT expand DKP jurisdiction beyond DKP-7-SCOPE-001.</w:t>
      </w:r>
    </w:p>
    <w:p>
      <w:pPr>
        <w:pStyle w:val="BodyText"/>
      </w:pPr>
      <w:r>
        <w:t xml:space="preserve">4.3</w:t>
      </w:r>
      <w:r>
        <w:t xml:space="preserve"> </w:t>
      </w:r>
      <w:r>
        <w:rPr>
          <w:b/>
          <w:bCs/>
        </w:rPr>
        <w:t xml:space="preserve">No Implicit Authority Transfer</w:t>
      </w:r>
      <w:r>
        <w:t xml:space="preserve"> </w:t>
      </w:r>
      <w:r>
        <w:t xml:space="preserve">Technical or legal compatibility SHALL NOT be treated as legitimacy, obligation, or consent.</w:t>
      </w:r>
    </w:p>
    <w:p>
      <w:pPr>
        <w:pStyle w:val="BodyText"/>
      </w:pPr>
      <w:r>
        <w:t xml:space="preserve">4.4</w:t>
      </w:r>
      <w:r>
        <w:t xml:space="preserve"> </w:t>
      </w:r>
      <w:r>
        <w:rPr>
          <w:b/>
          <w:bCs/>
        </w:rPr>
        <w:t xml:space="preserve">Deterministic Translation Only</w:t>
      </w:r>
      <w:r>
        <w:t xml:space="preserve"> </w:t>
      </w:r>
      <w:r>
        <w:t xml:space="preserve">All interoperability MUST operate via explicit, auditable translation rules.</w:t>
      </w:r>
    </w:p>
    <w:p>
      <w:r>
        <w:pict>
          <v:rect style="width:0;height:1.5pt" o:hralign="center" o:hrstd="t" o:hr="t"/>
        </w:pict>
      </w:r>
    </w:p>
    <w:bookmarkEnd w:id="13"/>
    <w:bookmarkStart w:id="14" w:name="X222caa21506002a561bd0934c57392b93039b34"/>
    <w:p>
      <w:pPr>
        <w:pStyle w:val="Heading4"/>
      </w:pPr>
      <w:r>
        <w:t xml:space="preserve">5. Legal Interoperability</w:t>
      </w:r>
    </w:p>
    <w:p>
      <w:pPr>
        <w:pStyle w:val="FirstParagraph"/>
      </w:pPr>
      <w:r>
        <w:t xml:space="preserve">When interacting with external legal systems:</w:t>
      </w:r>
    </w:p>
    <w:p>
      <w:pPr>
        <w:pStyle w:val="Compact"/>
        <w:numPr>
          <w:ilvl w:val="0"/>
          <w:numId w:val="1005"/>
        </w:numPr>
      </w:pPr>
      <w:r>
        <w:t xml:space="preserve">DKP outputs MAY be exported as evidence, signals, or reference data,</w:t>
      </w:r>
    </w:p>
    <w:p>
      <w:pPr>
        <w:pStyle w:val="Compact"/>
        <w:numPr>
          <w:ilvl w:val="0"/>
          <w:numId w:val="1005"/>
        </w:numPr>
      </w:pPr>
      <w:r>
        <w:t xml:space="preserve">DKP SHALL NOT recognize external rulings as binding internally,</w:t>
      </w:r>
    </w:p>
    <w:p>
      <w:pPr>
        <w:pStyle w:val="Compact"/>
        <w:numPr>
          <w:ilvl w:val="0"/>
          <w:numId w:val="1005"/>
        </w:numPr>
      </w:pPr>
      <w:r>
        <w:t xml:space="preserve">legal compliance outside DKP is the responsibility of Subjects, not the system.</w:t>
      </w:r>
    </w:p>
    <w:p>
      <w:pPr>
        <w:pStyle w:val="FirstParagraph"/>
      </w:pPr>
      <w:r>
        <w:t xml:space="preserve">DKP does not adjudicate conflicts between external legal regimes.</w:t>
      </w:r>
    </w:p>
    <w:p>
      <w:r>
        <w:pict>
          <v:rect style="width:0;height:1.5pt" o:hralign="center" o:hrstd="t" o:hr="t"/>
        </w:pict>
      </w:r>
    </w:p>
    <w:bookmarkEnd w:id="14"/>
    <w:bookmarkStart w:id="15" w:name="X551a1aa0e8f97bc062445177f8e9d1d7deee9d8"/>
    <w:p>
      <w:pPr>
        <w:pStyle w:val="Heading4"/>
      </w:pPr>
      <w:r>
        <w:t xml:space="preserve">6. Economic and Financial Interoperability</w:t>
      </w:r>
    </w:p>
    <w:p>
      <w:pPr>
        <w:pStyle w:val="FirstParagraph"/>
      </w:pPr>
      <w:r>
        <w:t xml:space="preserve">External economic systems MAY interact with DKP via:</w:t>
      </w:r>
    </w:p>
    <w:p>
      <w:pPr>
        <w:pStyle w:val="Compact"/>
        <w:numPr>
          <w:ilvl w:val="0"/>
          <w:numId w:val="1006"/>
        </w:numPr>
      </w:pPr>
      <w:r>
        <w:t xml:space="preserve">asset bridges,</w:t>
      </w:r>
    </w:p>
    <w:p>
      <w:pPr>
        <w:pStyle w:val="Compact"/>
        <w:numPr>
          <w:ilvl w:val="0"/>
          <w:numId w:val="1006"/>
        </w:numPr>
      </w:pPr>
      <w:r>
        <w:t xml:space="preserve">reporting gateways,</w:t>
      </w:r>
    </w:p>
    <w:p>
      <w:pPr>
        <w:pStyle w:val="Compact"/>
        <w:numPr>
          <w:ilvl w:val="0"/>
          <w:numId w:val="1006"/>
        </w:numPr>
      </w:pPr>
      <w:r>
        <w:t xml:space="preserve">settlement mirrors.</w:t>
      </w:r>
    </w:p>
    <w:p>
      <w:pPr>
        <w:pStyle w:val="FirstParagraph"/>
      </w:pPr>
      <w:r>
        <w:t xml:space="preserve">All external values MUST:</w:t>
      </w:r>
    </w:p>
    <w:p>
      <w:pPr>
        <w:pStyle w:val="Compact"/>
        <w:numPr>
          <w:ilvl w:val="0"/>
          <w:numId w:val="1007"/>
        </w:numPr>
      </w:pPr>
      <w:r>
        <w:t xml:space="preserve">be translated into justice-weighted internal equivalents,</w:t>
      </w:r>
    </w:p>
    <w:p>
      <w:pPr>
        <w:pStyle w:val="Compact"/>
        <w:numPr>
          <w:ilvl w:val="0"/>
          <w:numId w:val="1007"/>
        </w:numPr>
      </w:pPr>
      <w:r>
        <w:t xml:space="preserve">undergo full externality internalization,</w:t>
      </w:r>
    </w:p>
    <w:p>
      <w:pPr>
        <w:pStyle w:val="Compact"/>
        <w:numPr>
          <w:ilvl w:val="0"/>
          <w:numId w:val="1007"/>
        </w:numPr>
      </w:pPr>
      <w:r>
        <w:t xml:space="preserve">be flagged as externally sourced.</w:t>
      </w:r>
    </w:p>
    <w:p>
      <w:pPr>
        <w:pStyle w:val="FirstParagraph"/>
      </w:pPr>
      <w:r>
        <w:t xml:space="preserve">No external financial instrument may bypass DKP-2-FINANCE-001 constraints.</w:t>
      </w:r>
    </w:p>
    <w:p>
      <w:r>
        <w:pict>
          <v:rect style="width:0;height:1.5pt" o:hralign="center" o:hrstd="t" o:hr="t"/>
        </w:pict>
      </w:r>
    </w:p>
    <w:bookmarkEnd w:id="15"/>
    <w:bookmarkStart w:id="16" w:name="X9e03c2347dfb696710b3fcca925898b66f2a354"/>
    <w:p>
      <w:pPr>
        <w:pStyle w:val="Heading4"/>
      </w:pPr>
      <w:r>
        <w:t xml:space="preserve">7. Technical Interoperability</w:t>
      </w:r>
    </w:p>
    <w:p>
      <w:pPr>
        <w:pStyle w:val="FirstParagraph"/>
      </w:pPr>
      <w:r>
        <w:t xml:space="preserve">Technical interoperability includes:</w:t>
      </w:r>
    </w:p>
    <w:p>
      <w:pPr>
        <w:pStyle w:val="Compact"/>
        <w:numPr>
          <w:ilvl w:val="0"/>
          <w:numId w:val="1008"/>
        </w:numPr>
      </w:pPr>
      <w:r>
        <w:t xml:space="preserve">data exchange,</w:t>
      </w:r>
    </w:p>
    <w:p>
      <w:pPr>
        <w:pStyle w:val="Compact"/>
        <w:numPr>
          <w:ilvl w:val="0"/>
          <w:numId w:val="1008"/>
        </w:numPr>
      </w:pPr>
      <w:r>
        <w:t xml:space="preserve">protocol bridges,</w:t>
      </w:r>
    </w:p>
    <w:p>
      <w:pPr>
        <w:pStyle w:val="Compact"/>
        <w:numPr>
          <w:ilvl w:val="0"/>
          <w:numId w:val="1008"/>
        </w:numPr>
      </w:pPr>
      <w:r>
        <w:t xml:space="preserve">API access,</w:t>
      </w:r>
    </w:p>
    <w:p>
      <w:pPr>
        <w:pStyle w:val="Compact"/>
        <w:numPr>
          <w:ilvl w:val="0"/>
          <w:numId w:val="1008"/>
        </w:numPr>
      </w:pPr>
      <w:r>
        <w:t xml:space="preserve">oracle mirroring.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open specifications,</w:t>
      </w:r>
    </w:p>
    <w:p>
      <w:pPr>
        <w:pStyle w:val="Compact"/>
        <w:numPr>
          <w:ilvl w:val="0"/>
          <w:numId w:val="1009"/>
        </w:numPr>
      </w:pPr>
      <w:r>
        <w:t xml:space="preserve">cryptographic verifiability,</w:t>
      </w:r>
    </w:p>
    <w:p>
      <w:pPr>
        <w:pStyle w:val="Compact"/>
        <w:numPr>
          <w:ilvl w:val="0"/>
          <w:numId w:val="1009"/>
        </w:numPr>
      </w:pPr>
      <w:r>
        <w:t xml:space="preserve">audit hooks compatible with DKP-8-AUDIT-001.</w:t>
      </w:r>
    </w:p>
    <w:p>
      <w:pPr>
        <w:pStyle w:val="FirstParagraph"/>
      </w:pPr>
      <w:r>
        <w:t xml:space="preserve">Black-box or proprietary control logic SHALL NOT be trusted as authoritative inputs.</w:t>
      </w:r>
    </w:p>
    <w:p>
      <w:r>
        <w:pict>
          <v:rect style="width:0;height:1.5pt" o:hralign="center" o:hrstd="t" o:hr="t"/>
        </w:pict>
      </w:r>
    </w:p>
    <w:bookmarkEnd w:id="16"/>
    <w:bookmarkStart w:id="17" w:name="X43d87554e82fad7d0c75b84061f57d20ed1d13b"/>
    <w:p>
      <w:pPr>
        <w:pStyle w:val="Heading4"/>
      </w:pPr>
      <w:r>
        <w:t xml:space="preserve">8. Informational Interoperability</w:t>
      </w:r>
    </w:p>
    <w:p>
      <w:pPr>
        <w:pStyle w:val="FirstParagraph"/>
      </w:pPr>
      <w:r>
        <w:t xml:space="preserve">External information MAY be ingested only as:</w:t>
      </w:r>
    </w:p>
    <w:p>
      <w:pPr>
        <w:pStyle w:val="Compact"/>
        <w:numPr>
          <w:ilvl w:val="0"/>
          <w:numId w:val="1010"/>
        </w:numPr>
      </w:pPr>
      <w:r>
        <w:t xml:space="preserve">untrusted inputs,</w:t>
      </w:r>
    </w:p>
    <w:p>
      <w:pPr>
        <w:pStyle w:val="Compact"/>
        <w:numPr>
          <w:ilvl w:val="0"/>
          <w:numId w:val="1010"/>
        </w:numPr>
      </w:pPr>
      <w:r>
        <w:t xml:space="preserve">I1 (Unverified Claims) under DKP-5-INFO-001.</w:t>
      </w:r>
    </w:p>
    <w:p>
      <w:pPr>
        <w:pStyle w:val="FirstParagraph"/>
      </w:pPr>
      <w:r>
        <w:t xml:space="preserve">External consensus, authority, or institutional validation SHALL NOT substitute PTL verification.</w:t>
      </w:r>
    </w:p>
    <w:p>
      <w:r>
        <w:pict>
          <v:rect style="width:0;height:1.5pt" o:hralign="center" o:hrstd="t" o:hr="t"/>
        </w:pict>
      </w:r>
    </w:p>
    <w:bookmarkEnd w:id="17"/>
    <w:bookmarkStart w:id="18" w:name="Xa6aeb6a5e97ee430fad16c2902d4f201670415d"/>
    <w:p>
      <w:pPr>
        <w:pStyle w:val="Heading4"/>
      </w:pPr>
      <w:r>
        <w:t xml:space="preserve">9. Failure and Degradation Modes</w:t>
      </w:r>
    </w:p>
    <w:p>
      <w:pPr>
        <w:pStyle w:val="FirstParagraph"/>
      </w:pPr>
      <w:r>
        <w:t xml:space="preserve">If an external system:</w:t>
      </w:r>
    </w:p>
    <w:p>
      <w:pPr>
        <w:pStyle w:val="Compact"/>
        <w:numPr>
          <w:ilvl w:val="0"/>
          <w:numId w:val="1011"/>
        </w:numPr>
      </w:pPr>
      <w:r>
        <w:t xml:space="preserve">becomes unreliable,</w:t>
      </w:r>
    </w:p>
    <w:p>
      <w:pPr>
        <w:pStyle w:val="Compact"/>
        <w:numPr>
          <w:ilvl w:val="0"/>
          <w:numId w:val="1011"/>
        </w:numPr>
      </w:pPr>
      <w:r>
        <w:t xml:space="preserve">violates invariants,</w:t>
      </w:r>
    </w:p>
    <w:p>
      <w:pPr>
        <w:pStyle w:val="Compact"/>
        <w:numPr>
          <w:ilvl w:val="0"/>
          <w:numId w:val="1011"/>
        </w:numPr>
      </w:pPr>
      <w:r>
        <w:t xml:space="preserve">attempts normative injection,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the interop boundary MUST degrade gracefully,</w:t>
      </w:r>
    </w:p>
    <w:p>
      <w:pPr>
        <w:pStyle w:val="Compact"/>
        <w:numPr>
          <w:ilvl w:val="0"/>
          <w:numId w:val="1012"/>
        </w:numPr>
      </w:pPr>
      <w:r>
        <w:t xml:space="preserve">DKP internal execution MUST remain unaffected,</w:t>
      </w:r>
    </w:p>
    <w:p>
      <w:pPr>
        <w:pStyle w:val="Compact"/>
        <w:numPr>
          <w:ilvl w:val="0"/>
          <w:numId w:val="1012"/>
        </w:numPr>
      </w:pPr>
      <w:r>
        <w:t xml:space="preserve">no rollback of DKP state is permitted.</w:t>
      </w:r>
    </w:p>
    <w:p>
      <w:pPr>
        <w:pStyle w:val="FirstParagraph"/>
      </w:pPr>
      <w:r>
        <w:t xml:space="preserve">Interop failure SHALL NOT trigger Crisis or Mercy mechanisms.</w:t>
      </w:r>
    </w:p>
    <w:p>
      <w:r>
        <w:pict>
          <v:rect style="width:0;height:1.5pt" o:hralign="center" o:hrstd="t" o:hr="t"/>
        </w:pict>
      </w:r>
    </w:p>
    <w:bookmarkEnd w:id="18"/>
    <w:bookmarkStart w:id="19" w:name="X41928a7d595280e6f25c727392741b9b4c3d2e8"/>
    <w:p>
      <w:pPr>
        <w:pStyle w:val="Heading4"/>
      </w:pPr>
      <w:r>
        <w:t xml:space="preserve">10. Prohibited Interoperability Patterns</w:t>
      </w:r>
    </w:p>
    <w:p>
      <w:pPr>
        <w:pStyle w:val="FirstParagraph"/>
      </w:pPr>
      <w:r>
        <w:t xml:space="preserve">Explicitly forbidden:</w:t>
      </w:r>
    </w:p>
    <w:p>
      <w:pPr>
        <w:pStyle w:val="Compact"/>
        <w:numPr>
          <w:ilvl w:val="0"/>
          <w:numId w:val="1013"/>
        </w:numPr>
      </w:pPr>
      <w:r>
        <w:t xml:space="preserve">automatic legal harmonization,</w:t>
      </w:r>
    </w:p>
    <w:p>
      <w:pPr>
        <w:pStyle w:val="Compact"/>
        <w:numPr>
          <w:ilvl w:val="0"/>
          <w:numId w:val="1013"/>
        </w:numPr>
      </w:pPr>
      <w:r>
        <w:t xml:space="preserve">algorithmic dependency on external decision systems,</w:t>
      </w:r>
    </w:p>
    <w:p>
      <w:pPr>
        <w:pStyle w:val="Compact"/>
        <w:numPr>
          <w:ilvl w:val="0"/>
          <w:numId w:val="1013"/>
        </w:numPr>
      </w:pPr>
      <w:r>
        <w:t xml:space="preserve">governance-by-API,</w:t>
      </w:r>
    </w:p>
    <w:p>
      <w:pPr>
        <w:pStyle w:val="Compact"/>
        <w:numPr>
          <w:ilvl w:val="0"/>
          <w:numId w:val="1013"/>
        </w:numPr>
      </w:pPr>
      <w:r>
        <w:t xml:space="preserve">silent import of external norms,</w:t>
      </w:r>
    </w:p>
    <w:p>
      <w:pPr>
        <w:pStyle w:val="Compact"/>
        <w:numPr>
          <w:ilvl w:val="0"/>
          <w:numId w:val="1013"/>
        </w:numPr>
      </w:pPr>
      <w:r>
        <w:t xml:space="preserve">permanent delegation of DKP functions.</w:t>
      </w:r>
    </w:p>
    <w:p>
      <w:r>
        <w:pict>
          <v:rect style="width:0;height:1.5pt" o:hralign="center" o:hrstd="t" o:hr="t"/>
        </w:pict>
      </w:r>
    </w:p>
    <w:bookmarkEnd w:id="19"/>
    <w:bookmarkStart w:id="20" w:name="Xd0d2654e1384e2daf398c273da922b5e281218b"/>
    <w:p>
      <w:pPr>
        <w:pStyle w:val="Heading4"/>
      </w:pPr>
      <w:r>
        <w:t xml:space="preserve">11. Audit and Transparency</w:t>
      </w:r>
    </w:p>
    <w:p>
      <w:pPr>
        <w:pStyle w:val="FirstParagraph"/>
      </w:pPr>
      <w:r>
        <w:t xml:space="preserve">All interoperability layers:</w:t>
      </w:r>
    </w:p>
    <w:p>
      <w:pPr>
        <w:pStyle w:val="Compact"/>
        <w:numPr>
          <w:ilvl w:val="0"/>
          <w:numId w:val="1014"/>
        </w:numPr>
      </w:pPr>
      <w:r>
        <w:t xml:space="preserve">MUST be auditable,</w:t>
      </w:r>
    </w:p>
    <w:p>
      <w:pPr>
        <w:pStyle w:val="Compact"/>
        <w:numPr>
          <w:ilvl w:val="0"/>
          <w:numId w:val="1014"/>
        </w:numPr>
      </w:pPr>
      <w:r>
        <w:t xml:space="preserve">MUST expose translation logic,</w:t>
      </w:r>
    </w:p>
    <w:p>
      <w:pPr>
        <w:pStyle w:val="Compact"/>
        <w:numPr>
          <w:ilvl w:val="0"/>
          <w:numId w:val="1014"/>
        </w:numPr>
      </w:pPr>
      <w:r>
        <w:t xml:space="preserve">MUST record boundary events for post-facto review.</w:t>
      </w:r>
    </w:p>
    <w:p>
      <w:pPr>
        <w:pStyle w:val="FirstParagraph"/>
      </w:pPr>
      <w:r>
        <w:t xml:space="preserve">Audit authority is governed exclusively by DKP-8-AUDIT-001.</w:t>
      </w:r>
    </w:p>
    <w:p>
      <w:r>
        <w:pict>
          <v:rect style="width:0;height:1.5pt" o:hralign="center" o:hrstd="t" o:hr="t"/>
        </w:pict>
      </w:r>
    </w:p>
    <w:bookmarkEnd w:id="20"/>
    <w:bookmarkStart w:id="21" w:name="Xc9222d3b29602da59e48dbc4fe1937ac6345f18"/>
    <w:p>
      <w:pPr>
        <w:pStyle w:val="Heading4"/>
      </w:pPr>
      <w:r>
        <w:t xml:space="preserve">12. Scope Limitations</w:t>
      </w:r>
    </w:p>
    <w:p>
      <w:pPr>
        <w:pStyle w:val="FirstParagraph"/>
      </w:pPr>
      <w:r>
        <w:t xml:space="preserve">DKP-8-INTEROP-001 SHALL NOT:</w:t>
      </w:r>
    </w:p>
    <w:p>
      <w:pPr>
        <w:pStyle w:val="Compact"/>
        <w:numPr>
          <w:ilvl w:val="0"/>
          <w:numId w:val="1015"/>
        </w:numPr>
      </w:pPr>
      <w:r>
        <w:t xml:space="preserve">resolve geopolitical conflicts,</w:t>
      </w:r>
    </w:p>
    <w:p>
      <w:pPr>
        <w:pStyle w:val="Compact"/>
        <w:numPr>
          <w:ilvl w:val="0"/>
          <w:numId w:val="1015"/>
        </w:numPr>
      </w:pPr>
      <w:r>
        <w:t xml:space="preserve">unify legal systems,</w:t>
      </w:r>
    </w:p>
    <w:p>
      <w:pPr>
        <w:pStyle w:val="Compact"/>
        <w:numPr>
          <w:ilvl w:val="0"/>
          <w:numId w:val="1015"/>
        </w:numPr>
      </w:pPr>
      <w:r>
        <w:t xml:space="preserve">guarantee compliance by external actors,</w:t>
      </w:r>
    </w:p>
    <w:p>
      <w:pPr>
        <w:pStyle w:val="Compact"/>
        <w:numPr>
          <w:ilvl w:val="0"/>
          <w:numId w:val="1015"/>
        </w:numPr>
      </w:pPr>
      <w:r>
        <w:t xml:space="preserve">act as an enforcement bridge.</w:t>
      </w:r>
    </w:p>
    <w:p>
      <w:pPr>
        <w:pStyle w:val="FirstParagraph"/>
      </w:pPr>
      <w:r>
        <w:t xml:space="preserve">This protocol guarantees</w:t>
      </w:r>
      <w:r>
        <w:t xml:space="preserve"> </w:t>
      </w:r>
      <w:r>
        <w:rPr>
          <w:b/>
          <w:bCs/>
        </w:rPr>
        <w:t xml:space="preserve">compatibility, not convergence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fc6abaf9a30f06153c91c662532aea2796c3eb"/>
    <w:p>
      <w:pPr>
        <w:pStyle w:val="Heading4"/>
      </w:pPr>
      <w:r>
        <w:t xml:space="preserve">13.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6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16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16"/>
        </w:numPr>
      </w:pPr>
      <w:r>
        <w:t xml:space="preserve">explicit compatibility declaration with DKP-7-SCOPE-001.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rPr>
          <w:b/>
          <w:bCs/>
        </w:rPr>
        <w:t xml:space="preserve">END OF PROTOCOL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