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pkv01fukbkb9" w:id="0"/>
      <w:bookmarkEnd w:id="0"/>
      <w:r w:rsidDel="00000000" w:rsidR="00000000" w:rsidRPr="00000000">
        <w:rPr>
          <w:rtl w:val="0"/>
        </w:rPr>
        <w:t xml:space="preserve">DKP-0-ORACLE-001 Physical Truth Layer Protocol (PTL)</w:t>
      </w:r>
    </w:p>
    <w:p w:rsidR="00000000" w:rsidDel="00000000" w:rsidP="00000000" w:rsidRDefault="00000000" w:rsidRPr="00000000" w14:paraId="00000002">
      <w:pPr>
        <w:shd w:fill="ffffff" w:val="clear"/>
        <w:rPr>
          <w:rFonts w:ascii="Roboto" w:cs="Roboto" w:eastAsia="Roboto" w:hAnsi="Roboto"/>
          <w:color w:val="1f1f1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Version 1.0</w:t>
      </w:r>
    </w:p>
    <w:p w:rsidR="00000000" w:rsidDel="00000000" w:rsidP="00000000" w:rsidRDefault="00000000" w:rsidRPr="00000000" w14:paraId="00000004">
      <w:pPr>
        <w:pStyle w:val="Heading1"/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</w:rPr>
      </w:pPr>
      <w:bookmarkStart w:colFirst="0" w:colLast="0" w:name="_e84s54vqs5km" w:id="1"/>
      <w:bookmarkEnd w:id="1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  <w:rtl w:val="0"/>
        </w:rPr>
        <w:t xml:space="preserve">1. Purpose</w:t>
      </w:r>
    </w:p>
    <w:p w:rsidR="00000000" w:rsidDel="00000000" w:rsidP="00000000" w:rsidRDefault="00000000" w:rsidRPr="00000000" w14:paraId="00000005">
      <w:pPr>
        <w:shd w:fill="ffffff" w:val="clear"/>
        <w:rPr>
          <w:rFonts w:ascii="Roboto" w:cs="Roboto" w:eastAsia="Roboto" w:hAnsi="Roboto"/>
          <w:color w:val="1f1f1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Roboto" w:cs="Roboto" w:eastAsia="Roboto" w:hAnsi="Roboto"/>
          <w:color w:val="1f1f1f"/>
          <w:sz w:val="21"/>
          <w:szCs w:val="21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highlight w:val="white"/>
          <w:rtl w:val="0"/>
        </w:rPr>
        <w:t xml:space="preserve">The Physical Truth Layer (PTL) defines the sole admissible interface between physical reality and the Dikenocracy governance system.</w:t>
      </w:r>
    </w:p>
    <w:p w:rsidR="00000000" w:rsidDel="00000000" w:rsidP="00000000" w:rsidRDefault="00000000" w:rsidRPr="00000000" w14:paraId="00000007">
      <w:pPr>
        <w:shd w:fill="ffffff" w:val="clear"/>
        <w:rPr>
          <w:rFonts w:ascii="Roboto" w:cs="Roboto" w:eastAsia="Roboto" w:hAnsi="Roboto"/>
          <w:color w:val="1f1f1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Roboto" w:cs="Roboto" w:eastAsia="Roboto" w:hAnsi="Roboto"/>
          <w:color w:val="1f1f1f"/>
          <w:sz w:val="21"/>
          <w:szCs w:val="21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highlight w:val="white"/>
          <w:rtl w:val="0"/>
        </w:rPr>
        <w:t xml:space="preserve">Its function is to produce an objective, cryptographically verifiable, and physically grounded representation of reality, independent of political, economic, or human discretion.</w:t>
      </w:r>
    </w:p>
    <w:p w:rsidR="00000000" w:rsidDel="00000000" w:rsidP="00000000" w:rsidRDefault="00000000" w:rsidRPr="00000000" w14:paraId="00000009">
      <w:pPr>
        <w:shd w:fill="ffffff" w:val="clear"/>
        <w:rPr>
          <w:rFonts w:ascii="Roboto" w:cs="Roboto" w:eastAsia="Roboto" w:hAnsi="Roboto"/>
          <w:color w:val="1f1f1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1"/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</w:rPr>
      </w:pPr>
      <w:bookmarkStart w:colFirst="0" w:colLast="0" w:name="_g76sm4isupf8" w:id="2"/>
      <w:bookmarkEnd w:id="2"/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highlight w:val="white"/>
          <w:rtl w:val="0"/>
        </w:rPr>
        <w:t xml:space="preserve">The PTL produces state only. It does not interpret meaning, intent, value, or policy.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  <w:rtl w:val="0"/>
        </w:rPr>
        <w:t xml:space="preserve">2. System Position and Anchoring</w:t>
      </w:r>
    </w:p>
    <w:p w:rsidR="00000000" w:rsidDel="00000000" w:rsidP="00000000" w:rsidRDefault="00000000" w:rsidRPr="00000000" w14:paraId="0000000B">
      <w:pPr>
        <w:shd w:fill="ffffff" w:val="clear"/>
        <w:rPr>
          <w:rFonts w:ascii="Roboto" w:cs="Roboto" w:eastAsia="Roboto" w:hAnsi="Roboto"/>
          <w:color w:val="1f1f1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Roboto" w:cs="Roboto" w:eastAsia="Roboto" w:hAnsi="Roboto"/>
          <w:color w:val="1f1f1f"/>
          <w:sz w:val="21"/>
          <w:szCs w:val="21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highlight w:val="white"/>
          <w:rtl w:val="0"/>
        </w:rPr>
        <w:t xml:space="preserve">This protocol is an integral extension of Appendix A.2 of the Code of Planetary Synergy and is anchored to Genesis Block #0 (2025-12-10).</w:t>
      </w:r>
    </w:p>
    <w:p w:rsidR="00000000" w:rsidDel="00000000" w:rsidP="00000000" w:rsidRDefault="00000000" w:rsidRPr="00000000" w14:paraId="0000000D">
      <w:pPr>
        <w:shd w:fill="ffffff" w:val="clear"/>
        <w:rPr>
          <w:rFonts w:ascii="Roboto" w:cs="Roboto" w:eastAsia="Roboto" w:hAnsi="Roboto"/>
          <w:color w:val="1f1f1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</w:rPr>
      </w:pPr>
      <w:bookmarkStart w:colFirst="0" w:colLast="0" w:name="_ujis4b9tz6v6" w:id="3"/>
      <w:bookmarkEnd w:id="3"/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highlight w:val="white"/>
          <w:rtl w:val="0"/>
        </w:rPr>
        <w:t xml:space="preserve">Compatibility with the Genesis Block physical anchors and parameters is a mandatory validity condition for any PTL implementation.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  <w:rtl w:val="0"/>
        </w:rPr>
        <w:t xml:space="preserve">3. Scope</w:t>
      </w:r>
    </w:p>
    <w:p w:rsidR="00000000" w:rsidDel="00000000" w:rsidP="00000000" w:rsidRDefault="00000000" w:rsidRPr="00000000" w14:paraId="0000000F">
      <w:pPr>
        <w:shd w:fill="ffffff" w:val="clear"/>
        <w:rPr>
          <w:rFonts w:ascii="Roboto" w:cs="Roboto" w:eastAsia="Roboto" w:hAnsi="Roboto"/>
          <w:color w:val="1f1f1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Roboto" w:cs="Roboto" w:eastAsia="Roboto" w:hAnsi="Roboto"/>
          <w:color w:val="1f1f1f"/>
          <w:sz w:val="21"/>
          <w:szCs w:val="21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highlight w:val="white"/>
          <w:rtl w:val="0"/>
        </w:rPr>
        <w:t xml:space="preserve">This protocol governs:</w:t>
      </w:r>
    </w:p>
    <w:p w:rsidR="00000000" w:rsidDel="00000000" w:rsidP="00000000" w:rsidRDefault="00000000" w:rsidRPr="00000000" w14:paraId="00000011">
      <w:pPr>
        <w:numPr>
          <w:ilvl w:val="0"/>
          <w:numId w:val="7"/>
        </w:numPr>
        <w:shd w:fill="ffffff" w:val="clear"/>
        <w:spacing w:after="0" w:afterAutospacing="0" w:before="24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Oracle admissibility</w:t>
      </w:r>
    </w:p>
    <w:p w:rsidR="00000000" w:rsidDel="00000000" w:rsidP="00000000" w:rsidRDefault="00000000" w:rsidRPr="00000000" w14:paraId="00000012">
      <w:pPr>
        <w:numPr>
          <w:ilvl w:val="0"/>
          <w:numId w:val="7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Data ingestion constraints</w:t>
      </w:r>
    </w:p>
    <w:p w:rsidR="00000000" w:rsidDel="00000000" w:rsidP="00000000" w:rsidRDefault="00000000" w:rsidRPr="00000000" w14:paraId="00000013">
      <w:pPr>
        <w:numPr>
          <w:ilvl w:val="0"/>
          <w:numId w:val="7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Oracle weighting and ownership caps</w:t>
      </w:r>
    </w:p>
    <w:p w:rsidR="00000000" w:rsidDel="00000000" w:rsidP="00000000" w:rsidRDefault="00000000" w:rsidRPr="00000000" w14:paraId="00000014">
      <w:pPr>
        <w:numPr>
          <w:ilvl w:val="0"/>
          <w:numId w:val="7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Temporal validity of data</w:t>
      </w:r>
    </w:p>
    <w:p w:rsidR="00000000" w:rsidDel="00000000" w:rsidP="00000000" w:rsidRDefault="00000000" w:rsidRPr="00000000" w14:paraId="00000015">
      <w:pPr>
        <w:numPr>
          <w:ilvl w:val="0"/>
          <w:numId w:val="7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Data aggregation methodology</w:t>
      </w:r>
    </w:p>
    <w:p w:rsidR="00000000" w:rsidDel="00000000" w:rsidP="00000000" w:rsidRDefault="00000000" w:rsidRPr="00000000" w14:paraId="00000016">
      <w:pPr>
        <w:numPr>
          <w:ilvl w:val="0"/>
          <w:numId w:val="7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Divergence detection and arbitration</w:t>
      </w:r>
    </w:p>
    <w:p w:rsidR="00000000" w:rsidDel="00000000" w:rsidP="00000000" w:rsidRDefault="00000000" w:rsidRPr="00000000" w14:paraId="00000017">
      <w:pPr>
        <w:numPr>
          <w:ilvl w:val="0"/>
          <w:numId w:val="7"/>
        </w:numPr>
        <w:shd w:fill="ffffff" w:val="clear"/>
        <w:spacing w:after="24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Production of raw physical indices required by higher layers</w:t>
      </w:r>
    </w:p>
    <w:p w:rsidR="00000000" w:rsidDel="00000000" w:rsidP="00000000" w:rsidRDefault="00000000" w:rsidRPr="00000000" w14:paraId="00000018">
      <w:pPr>
        <w:rPr>
          <w:rFonts w:ascii="Roboto" w:cs="Roboto" w:eastAsia="Roboto" w:hAnsi="Roboto"/>
          <w:color w:val="1f1f1f"/>
          <w:sz w:val="21"/>
          <w:szCs w:val="21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highlight w:val="white"/>
          <w:rtl w:val="0"/>
        </w:rPr>
        <w:t xml:space="preserve">This protocol explicitly excludes:</w:t>
      </w:r>
    </w:p>
    <w:p w:rsidR="00000000" w:rsidDel="00000000" w:rsidP="00000000" w:rsidRDefault="00000000" w:rsidRPr="00000000" w14:paraId="00000019">
      <w:pPr>
        <w:numPr>
          <w:ilvl w:val="0"/>
          <w:numId w:val="11"/>
        </w:numPr>
        <w:shd w:fill="ffffff" w:val="clear"/>
        <w:spacing w:after="0" w:afterAutospacing="0" w:before="24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Human testimony or manual input</w:t>
      </w:r>
    </w:p>
    <w:p w:rsidR="00000000" w:rsidDel="00000000" w:rsidP="00000000" w:rsidRDefault="00000000" w:rsidRPr="00000000" w14:paraId="0000001A">
      <w:pPr>
        <w:numPr>
          <w:ilvl w:val="0"/>
          <w:numId w:val="11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Semantic interpretation</w:t>
      </w:r>
    </w:p>
    <w:p w:rsidR="00000000" w:rsidDel="00000000" w:rsidP="00000000" w:rsidRDefault="00000000" w:rsidRPr="00000000" w14:paraId="0000001B">
      <w:pPr>
        <w:numPr>
          <w:ilvl w:val="0"/>
          <w:numId w:val="11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Policy reasoning</w:t>
      </w:r>
    </w:p>
    <w:p w:rsidR="00000000" w:rsidDel="00000000" w:rsidP="00000000" w:rsidRDefault="00000000" w:rsidRPr="00000000" w14:paraId="0000001C">
      <w:pPr>
        <w:numPr>
          <w:ilvl w:val="0"/>
          <w:numId w:val="11"/>
        </w:numPr>
        <w:shd w:fill="ffffff" w:val="clear"/>
        <w:spacing w:after="24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Cross-layer feedback or parameter adjustment</w:t>
      </w:r>
    </w:p>
    <w:p w:rsidR="00000000" w:rsidDel="00000000" w:rsidP="00000000" w:rsidRDefault="00000000" w:rsidRPr="00000000" w14:paraId="0000001D">
      <w:pPr>
        <w:pStyle w:val="Heading1"/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</w:rPr>
      </w:pPr>
      <w:bookmarkStart w:colFirst="0" w:colLast="0" w:name="_7janh4fgkrk5" w:id="4"/>
      <w:bookmarkEnd w:id="4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  <w:rtl w:val="0"/>
        </w:rPr>
        <w:t xml:space="preserve">4. Core Definitions</w:t>
      </w:r>
    </w:p>
    <w:p w:rsidR="00000000" w:rsidDel="00000000" w:rsidP="00000000" w:rsidRDefault="00000000" w:rsidRPr="00000000" w14:paraId="0000001E">
      <w:pPr>
        <w:shd w:fill="ffffff" w:val="clear"/>
        <w:rPr>
          <w:rFonts w:ascii="Roboto" w:cs="Roboto" w:eastAsia="Roboto" w:hAnsi="Roboto"/>
          <w:color w:val="1f1f1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  <w:rtl w:val="0"/>
        </w:rPr>
        <w:t xml:space="preserve">Physical State Vector S(t)</w:t>
      </w:r>
    </w:p>
    <w:p w:rsidR="00000000" w:rsidDel="00000000" w:rsidP="00000000" w:rsidRDefault="00000000" w:rsidRPr="00000000" w14:paraId="00000020">
      <w:pPr>
        <w:shd w:fill="ffffff" w:val="clear"/>
        <w:rPr>
          <w:rFonts w:ascii="Roboto" w:cs="Roboto" w:eastAsia="Roboto" w:hAnsi="Roboto"/>
          <w:color w:val="1f1f1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Roboto" w:cs="Roboto" w:eastAsia="Roboto" w:hAnsi="Roboto"/>
          <w:color w:val="1f1f1f"/>
          <w:sz w:val="21"/>
          <w:szCs w:val="21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highlight w:val="white"/>
          <w:rtl w:val="0"/>
        </w:rPr>
        <w:t xml:space="preserve">A time-indexed vector of physically measurable variables.</w:t>
      </w:r>
    </w:p>
    <w:p w:rsidR="00000000" w:rsidDel="00000000" w:rsidP="00000000" w:rsidRDefault="00000000" w:rsidRPr="00000000" w14:paraId="00000022">
      <w:pPr>
        <w:shd w:fill="ffffff" w:val="clear"/>
        <w:rPr>
          <w:rFonts w:ascii="Roboto" w:cs="Roboto" w:eastAsia="Roboto" w:hAnsi="Roboto"/>
          <w:color w:val="1f1f1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  <w:rtl w:val="0"/>
        </w:rPr>
        <w:t xml:space="preserve">Oracle Source</w:t>
      </w:r>
    </w:p>
    <w:p w:rsidR="00000000" w:rsidDel="00000000" w:rsidP="00000000" w:rsidRDefault="00000000" w:rsidRPr="00000000" w14:paraId="00000024">
      <w:pPr>
        <w:shd w:fill="ffffff" w:val="clear"/>
        <w:rPr>
          <w:rFonts w:ascii="Roboto" w:cs="Roboto" w:eastAsia="Roboto" w:hAnsi="Roboto"/>
          <w:color w:val="1f1f1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Roboto" w:cs="Roboto" w:eastAsia="Roboto" w:hAnsi="Roboto"/>
          <w:color w:val="1f1f1f"/>
          <w:sz w:val="21"/>
          <w:szCs w:val="21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highlight w:val="white"/>
          <w:rtl w:val="0"/>
        </w:rPr>
        <w:t xml:space="preserve">A hardware-bound system producing cryptographically signed physical measurements.</w:t>
      </w:r>
    </w:p>
    <w:p w:rsidR="00000000" w:rsidDel="00000000" w:rsidP="00000000" w:rsidRDefault="00000000" w:rsidRPr="00000000" w14:paraId="00000026">
      <w:pPr>
        <w:shd w:fill="ffffff" w:val="clear"/>
        <w:rPr>
          <w:rFonts w:ascii="Roboto" w:cs="Roboto" w:eastAsia="Roboto" w:hAnsi="Roboto"/>
          <w:color w:val="1f1f1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  <w:rtl w:val="0"/>
        </w:rPr>
        <w:t xml:space="preserve">Oracle Owner</w:t>
      </w:r>
    </w:p>
    <w:p w:rsidR="00000000" w:rsidDel="00000000" w:rsidP="00000000" w:rsidRDefault="00000000" w:rsidRPr="00000000" w14:paraId="00000028">
      <w:pPr>
        <w:shd w:fill="ffffff" w:val="clear"/>
        <w:rPr>
          <w:rFonts w:ascii="Roboto" w:cs="Roboto" w:eastAsia="Roboto" w:hAnsi="Roboto"/>
          <w:color w:val="1f1f1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Roboto" w:cs="Roboto" w:eastAsia="Roboto" w:hAnsi="Roboto"/>
          <w:color w:val="1f1f1f"/>
          <w:sz w:val="21"/>
          <w:szCs w:val="21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highlight w:val="white"/>
          <w:rtl w:val="0"/>
        </w:rPr>
        <w:t xml:space="preserve">A natural or legal person controlling one or more oracle sources.</w:t>
      </w:r>
    </w:p>
    <w:p w:rsidR="00000000" w:rsidDel="00000000" w:rsidP="00000000" w:rsidRDefault="00000000" w:rsidRPr="00000000" w14:paraId="0000002A">
      <w:pPr>
        <w:shd w:fill="ffffff" w:val="clear"/>
        <w:rPr>
          <w:rFonts w:ascii="Roboto" w:cs="Roboto" w:eastAsia="Roboto" w:hAnsi="Roboto"/>
          <w:color w:val="1f1f1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</w:rPr>
      </w:pPr>
      <w:r w:rsidDel="00000000" w:rsidR="00000000" w:rsidRPr="00000000">
        <w:rPr>
          <w:rFonts w:ascii="Andika" w:cs="Andika" w:eastAsia="Andika" w:hAnsi="Andika"/>
          <w:b w:val="1"/>
          <w:bCs w:val="1"/>
          <w:color w:val="1f1f1f"/>
          <w:sz w:val="21"/>
          <w:szCs w:val="21"/>
          <w:highlight w:val="white"/>
          <w:rtl w:val="0"/>
        </w:rPr>
        <w:t xml:space="preserve">Confidence Weight wᵢ</w:t>
      </w:r>
    </w:p>
    <w:p w:rsidR="00000000" w:rsidDel="00000000" w:rsidP="00000000" w:rsidRDefault="00000000" w:rsidRPr="00000000" w14:paraId="0000002C">
      <w:pPr>
        <w:shd w:fill="ffffff" w:val="clear"/>
        <w:rPr>
          <w:rFonts w:ascii="Roboto" w:cs="Roboto" w:eastAsia="Roboto" w:hAnsi="Roboto"/>
          <w:color w:val="1f1f1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rFonts w:ascii="Roboto" w:cs="Roboto" w:eastAsia="Roboto" w:hAnsi="Roboto"/>
          <w:color w:val="1f1f1f"/>
          <w:sz w:val="21"/>
          <w:szCs w:val="21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highlight w:val="white"/>
          <w:rtl w:val="0"/>
        </w:rPr>
        <w:t xml:space="preserve">A normalized reliability contribution of an oracle source.</w:t>
      </w:r>
    </w:p>
    <w:p w:rsidR="00000000" w:rsidDel="00000000" w:rsidP="00000000" w:rsidRDefault="00000000" w:rsidRPr="00000000" w14:paraId="0000002E">
      <w:pPr>
        <w:shd w:fill="ffffff" w:val="clear"/>
        <w:rPr>
          <w:rFonts w:ascii="Roboto" w:cs="Roboto" w:eastAsia="Roboto" w:hAnsi="Roboto"/>
          <w:color w:val="1f1f1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  <w:rtl w:val="0"/>
        </w:rPr>
        <w:t xml:space="preserve">Coverage</w:t>
      </w:r>
    </w:p>
    <w:p w:rsidR="00000000" w:rsidDel="00000000" w:rsidP="00000000" w:rsidRDefault="00000000" w:rsidRPr="00000000" w14:paraId="00000030">
      <w:pPr>
        <w:shd w:fill="ffffff" w:val="clear"/>
        <w:rPr>
          <w:rFonts w:ascii="Roboto" w:cs="Roboto" w:eastAsia="Roboto" w:hAnsi="Roboto"/>
          <w:color w:val="1f1f1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rFonts w:ascii="Roboto" w:cs="Roboto" w:eastAsia="Roboto" w:hAnsi="Roboto"/>
          <w:color w:val="1f1f1f"/>
          <w:sz w:val="21"/>
          <w:szCs w:val="21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highlight w:val="white"/>
          <w:rtl w:val="0"/>
        </w:rPr>
        <w:t xml:space="preserve">The fraction of the target physical domain that is actively observed by valid oracle sources.</w:t>
      </w:r>
    </w:p>
    <w:p w:rsidR="00000000" w:rsidDel="00000000" w:rsidP="00000000" w:rsidRDefault="00000000" w:rsidRPr="00000000" w14:paraId="00000032">
      <w:pPr>
        <w:shd w:fill="ffffff" w:val="clear"/>
        <w:rPr>
          <w:rFonts w:ascii="Roboto" w:cs="Roboto" w:eastAsia="Roboto" w:hAnsi="Roboto"/>
          <w:color w:val="1f1f1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  <w:rtl w:val="0"/>
        </w:rPr>
        <w:t xml:space="preserve">Data Staleness (TTL)</w:t>
      </w:r>
    </w:p>
    <w:p w:rsidR="00000000" w:rsidDel="00000000" w:rsidP="00000000" w:rsidRDefault="00000000" w:rsidRPr="00000000" w14:paraId="00000034">
      <w:pPr>
        <w:shd w:fill="ffffff" w:val="clear"/>
        <w:rPr>
          <w:rFonts w:ascii="Roboto" w:cs="Roboto" w:eastAsia="Roboto" w:hAnsi="Roboto"/>
          <w:color w:val="1f1f1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rFonts w:ascii="Roboto" w:cs="Roboto" w:eastAsia="Roboto" w:hAnsi="Roboto"/>
          <w:color w:val="1f1f1f"/>
          <w:sz w:val="21"/>
          <w:szCs w:val="21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highlight w:val="white"/>
          <w:rtl w:val="0"/>
        </w:rPr>
        <w:t xml:space="preserve">The maximum admissible age of a datum before its confidence weight is forced to zero.</w:t>
      </w:r>
    </w:p>
    <w:p w:rsidR="00000000" w:rsidDel="00000000" w:rsidP="00000000" w:rsidRDefault="00000000" w:rsidRPr="00000000" w14:paraId="00000036">
      <w:pPr>
        <w:shd w:fill="ffffff" w:val="clear"/>
        <w:rPr>
          <w:rFonts w:ascii="Roboto" w:cs="Roboto" w:eastAsia="Roboto" w:hAnsi="Roboto"/>
          <w:color w:val="1f1f1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  <w:rtl w:val="0"/>
        </w:rPr>
        <w:t xml:space="preserve">Independent Oracle Classes</w:t>
      </w:r>
    </w:p>
    <w:p w:rsidR="00000000" w:rsidDel="00000000" w:rsidP="00000000" w:rsidRDefault="00000000" w:rsidRPr="00000000" w14:paraId="00000038">
      <w:pPr>
        <w:shd w:fill="ffffff" w:val="clear"/>
        <w:rPr>
          <w:rFonts w:ascii="Roboto" w:cs="Roboto" w:eastAsia="Roboto" w:hAnsi="Roboto"/>
          <w:color w:val="1f1f1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rFonts w:ascii="Roboto" w:cs="Roboto" w:eastAsia="Roboto" w:hAnsi="Roboto"/>
          <w:color w:val="1f1f1f"/>
          <w:sz w:val="21"/>
          <w:szCs w:val="21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highlight w:val="white"/>
          <w:rtl w:val="0"/>
        </w:rPr>
        <w:t xml:space="preserve">Distinct measurement modalities defined by physical separation of sensing mechanisms.</w:t>
      </w:r>
    </w:p>
    <w:p w:rsidR="00000000" w:rsidDel="00000000" w:rsidP="00000000" w:rsidRDefault="00000000" w:rsidRPr="00000000" w14:paraId="0000003A">
      <w:pPr>
        <w:shd w:fill="ffffff" w:val="clear"/>
        <w:rPr>
          <w:rFonts w:ascii="Roboto" w:cs="Roboto" w:eastAsia="Roboto" w:hAnsi="Roboto"/>
          <w:color w:val="1f1f1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  <w:rtl w:val="0"/>
        </w:rPr>
        <w:t xml:space="preserve">Divergence Event</w:t>
      </w:r>
    </w:p>
    <w:p w:rsidR="00000000" w:rsidDel="00000000" w:rsidP="00000000" w:rsidRDefault="00000000" w:rsidRPr="00000000" w14:paraId="0000003C">
      <w:pPr>
        <w:shd w:fill="ffffff" w:val="clear"/>
        <w:rPr>
          <w:rFonts w:ascii="Roboto" w:cs="Roboto" w:eastAsia="Roboto" w:hAnsi="Roboto"/>
          <w:color w:val="1f1f1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1"/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</w:rPr>
      </w:pPr>
      <w:bookmarkStart w:colFirst="0" w:colLast="0" w:name="_mwh5agpn43ca" w:id="5"/>
      <w:bookmarkEnd w:id="5"/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highlight w:val="white"/>
          <w:rtl w:val="0"/>
        </w:rPr>
        <w:t xml:space="preserve">A statistically significant disagreement between independent oracle classes.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  <w:rtl w:val="0"/>
        </w:rPr>
        <w:t xml:space="preserve">5. Independent Oracle Classes</w:t>
      </w:r>
    </w:p>
    <w:p w:rsidR="00000000" w:rsidDel="00000000" w:rsidP="00000000" w:rsidRDefault="00000000" w:rsidRPr="00000000" w14:paraId="0000003E">
      <w:pPr>
        <w:shd w:fill="ffffff" w:val="clear"/>
        <w:rPr>
          <w:rFonts w:ascii="Roboto" w:cs="Roboto" w:eastAsia="Roboto" w:hAnsi="Roboto"/>
          <w:color w:val="1f1f1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rFonts w:ascii="Roboto" w:cs="Roboto" w:eastAsia="Roboto" w:hAnsi="Roboto"/>
          <w:color w:val="1f1f1f"/>
          <w:sz w:val="21"/>
          <w:szCs w:val="21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highlight w:val="white"/>
          <w:rtl w:val="0"/>
        </w:rPr>
        <w:t xml:space="preserve">The PTL defines the following independent oracle classes:</w:t>
      </w:r>
    </w:p>
    <w:p w:rsidR="00000000" w:rsidDel="00000000" w:rsidP="00000000" w:rsidRDefault="00000000" w:rsidRPr="00000000" w14:paraId="00000040">
      <w:pPr>
        <w:numPr>
          <w:ilvl w:val="0"/>
          <w:numId w:val="10"/>
        </w:numPr>
        <w:shd w:fill="ffffff" w:val="clear"/>
        <w:spacing w:after="0" w:afterAutospacing="0" w:before="24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Orbital (satellite-based remote sensing)</w:t>
      </w:r>
    </w:p>
    <w:p w:rsidR="00000000" w:rsidDel="00000000" w:rsidP="00000000" w:rsidRDefault="00000000" w:rsidRPr="00000000" w14:paraId="00000041">
      <w:pPr>
        <w:numPr>
          <w:ilvl w:val="0"/>
          <w:numId w:val="10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Ground (fixed terrestrial or marine sensors)</w:t>
      </w:r>
    </w:p>
    <w:p w:rsidR="00000000" w:rsidDel="00000000" w:rsidP="00000000" w:rsidRDefault="00000000" w:rsidRPr="00000000" w14:paraId="00000042">
      <w:pPr>
        <w:numPr>
          <w:ilvl w:val="0"/>
          <w:numId w:val="10"/>
        </w:numPr>
        <w:shd w:fill="ffffff" w:val="clear"/>
        <w:spacing w:after="24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Autonomous (mobile or robotic sensing platforms)</w:t>
      </w:r>
    </w:p>
    <w:p w:rsidR="00000000" w:rsidDel="00000000" w:rsidP="00000000" w:rsidRDefault="00000000" w:rsidRPr="00000000" w14:paraId="00000043">
      <w:pPr>
        <w:pStyle w:val="Heading1"/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</w:rPr>
      </w:pPr>
      <w:bookmarkStart w:colFirst="0" w:colLast="0" w:name="_mjw37v20zekw" w:id="6"/>
      <w:bookmarkEnd w:id="6"/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highlight w:val="white"/>
          <w:rtl w:val="0"/>
        </w:rPr>
        <w:t xml:space="preserve">Divergence detection applies exclusively across classes, not within a single class.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  <w:rtl w:val="0"/>
        </w:rPr>
        <w:t xml:space="preserve">6. Data Ingestion Rules</w:t>
      </w:r>
    </w:p>
    <w:p w:rsidR="00000000" w:rsidDel="00000000" w:rsidP="00000000" w:rsidRDefault="00000000" w:rsidRPr="00000000" w14:paraId="00000044">
      <w:pPr>
        <w:numPr>
          <w:ilvl w:val="0"/>
          <w:numId w:val="2"/>
        </w:numPr>
        <w:shd w:fill="ffffff" w:val="clear"/>
        <w:spacing w:after="0" w:afterAutospacing="0" w:before="24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All data MUST be:</w:t>
      </w:r>
    </w:p>
    <w:p w:rsidR="00000000" w:rsidDel="00000000" w:rsidP="00000000" w:rsidRDefault="00000000" w:rsidRPr="00000000" w14:paraId="00000045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Cryptographically signed at the source</w:t>
      </w:r>
    </w:p>
    <w:p w:rsidR="00000000" w:rsidDel="00000000" w:rsidP="00000000" w:rsidRDefault="00000000" w:rsidRPr="00000000" w14:paraId="00000046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Time-stamped with a verifiable clock</w:t>
      </w:r>
    </w:p>
    <w:p w:rsidR="00000000" w:rsidDel="00000000" w:rsidP="00000000" w:rsidRDefault="00000000" w:rsidRPr="00000000" w14:paraId="00000047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Traceable to a registered oracle identity</w:t>
      </w:r>
    </w:p>
    <w:p w:rsidR="00000000" w:rsidDel="00000000" w:rsidP="00000000" w:rsidRDefault="00000000" w:rsidRPr="00000000" w14:paraId="00000048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Delivered in an open, publicly decodable schema</w:t>
      </w:r>
    </w:p>
    <w:p w:rsidR="00000000" w:rsidDel="00000000" w:rsidP="00000000" w:rsidRDefault="00000000" w:rsidRPr="00000000" w14:paraId="00000049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Proprietary or non-decodable data formats SHALL be rejected regardless of signature validity.</w:t>
      </w:r>
    </w:p>
    <w:p w:rsidR="00000000" w:rsidDel="00000000" w:rsidP="00000000" w:rsidRDefault="00000000" w:rsidRPr="00000000" w14:paraId="0000004A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Zero-knowledge proofs MAY be used to verify authenticity without revealing proprietary sensor internals.</w:t>
      </w:r>
    </w:p>
    <w:p w:rsidR="00000000" w:rsidDel="00000000" w:rsidP="00000000" w:rsidRDefault="00000000" w:rsidRPr="00000000" w14:paraId="0000004B">
      <w:pPr>
        <w:numPr>
          <w:ilvl w:val="0"/>
          <w:numId w:val="2"/>
        </w:numPr>
        <w:shd w:fill="ffffff" w:val="clear"/>
        <w:spacing w:after="24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No data may be modified, normalized, or interpreted at ingestion time.</w:t>
      </w:r>
    </w:p>
    <w:p w:rsidR="00000000" w:rsidDel="00000000" w:rsidP="00000000" w:rsidRDefault="00000000" w:rsidRPr="00000000" w14:paraId="0000004C">
      <w:pPr>
        <w:pStyle w:val="Heading1"/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</w:rPr>
      </w:pPr>
      <w:bookmarkStart w:colFirst="0" w:colLast="0" w:name="_ij8t0dqp6wnl" w:id="7"/>
      <w:bookmarkEnd w:id="7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  <w:rtl w:val="0"/>
        </w:rPr>
        <w:t xml:space="preserve">7. Oracle Weighting and Anti-Collusion Constraints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shd w:fill="ffffff" w:val="clear"/>
        <w:spacing w:after="0" w:afterAutospacing="0" w:before="24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Maximum confidence weight per oracle source: 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sz w:val="21"/>
          <w:szCs w:val="21"/>
          <w:rtl w:val="0"/>
        </w:rPr>
        <w:t xml:space="preserve">4%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Maximum combined confidence weight per oracle owner: 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sz w:val="21"/>
          <w:szCs w:val="21"/>
          <w:rtl w:val="0"/>
        </w:rPr>
        <w:t xml:space="preserve">4%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Ownership caps apply regardless of the number or distribution of devices.</w:t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Exceeding caps results in:</w:t>
      </w:r>
    </w:p>
    <w:p w:rsidR="00000000" w:rsidDel="00000000" w:rsidP="00000000" w:rsidRDefault="00000000" w:rsidRPr="00000000" w14:paraId="00000051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Automatic zeroing of excess weight</w:t>
      </w:r>
    </w:p>
    <w:p w:rsidR="00000000" w:rsidDel="00000000" w:rsidP="00000000" w:rsidRDefault="00000000" w:rsidRPr="00000000" w14:paraId="00000052">
      <w:pPr>
        <w:numPr>
          <w:ilvl w:val="1"/>
          <w:numId w:val="1"/>
        </w:numPr>
        <w:spacing w:after="360" w:before="0" w:beforeAutospacing="0" w:lineRule="auto"/>
        <w:ind w:left="1440" w:hanging="360"/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Slashing of the violating owner's remaining stake, where applicable</w:t>
      </w:r>
    </w:p>
    <w:p w:rsidR="00000000" w:rsidDel="00000000" w:rsidP="00000000" w:rsidRDefault="00000000" w:rsidRPr="00000000" w14:paraId="00000053">
      <w:pPr>
        <w:pStyle w:val="Heading1"/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</w:rPr>
      </w:pPr>
      <w:bookmarkStart w:colFirst="0" w:colLast="0" w:name="_rac3g5sb3fbo" w:id="8"/>
      <w:bookmarkEnd w:id="8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  <w:rtl w:val="0"/>
        </w:rPr>
        <w:t xml:space="preserve">8. Temporal Validity and Data Staleness</w:t>
      </w:r>
    </w:p>
    <w:p w:rsidR="00000000" w:rsidDel="00000000" w:rsidP="00000000" w:rsidRDefault="00000000" w:rsidRPr="00000000" w14:paraId="00000054">
      <w:pPr>
        <w:numPr>
          <w:ilvl w:val="0"/>
          <w:numId w:val="6"/>
        </w:numPr>
        <w:shd w:fill="ffffff" w:val="clear"/>
        <w:spacing w:after="0" w:afterAutospacing="0" w:before="24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All data types SHALL have an explicit TTL.</w:t>
      </w:r>
    </w:p>
    <w:p w:rsidR="00000000" w:rsidDel="00000000" w:rsidP="00000000" w:rsidRDefault="00000000" w:rsidRPr="00000000" w14:paraId="00000055">
      <w:pPr>
        <w:numPr>
          <w:ilvl w:val="0"/>
          <w:numId w:val="6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Data exceeding its TTL SHALL have its confidence weight set to zero.</w:t>
      </w:r>
    </w:p>
    <w:p w:rsidR="00000000" w:rsidDel="00000000" w:rsidP="00000000" w:rsidRDefault="00000000" w:rsidRPr="00000000" w14:paraId="00000056">
      <w:pPr>
        <w:numPr>
          <w:ilvl w:val="0"/>
          <w:numId w:val="6"/>
        </w:numPr>
        <w:shd w:fill="ffffff" w:val="clear"/>
        <w:spacing w:after="24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Stale data MUST NOT be extrapolated, substituted, or interpolated.</w:t>
      </w:r>
    </w:p>
    <w:p w:rsidR="00000000" w:rsidDel="00000000" w:rsidP="00000000" w:rsidRDefault="00000000" w:rsidRPr="00000000" w14:paraId="00000057">
      <w:pPr>
        <w:shd w:fill="ffffff" w:val="clear"/>
        <w:spacing w:after="240" w:before="240" w:lineRule="auto"/>
        <w:rPr>
          <w:rFonts w:ascii="Roboto" w:cs="Roboto" w:eastAsia="Roboto" w:hAnsi="Roboto"/>
          <w:color w:val="1f1f1f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Oracle silence, absence of data, or zero-weight conditions SHALL NOT be interpreted as neutral or zero-impact physical states.</w:t>
      </w:r>
    </w:p>
    <w:p w:rsidR="00000000" w:rsidDel="00000000" w:rsidP="00000000" w:rsidRDefault="00000000" w:rsidRPr="00000000" w14:paraId="00000058">
      <w:pPr>
        <w:shd w:fill="ffffff" w:val="clear"/>
        <w:spacing w:after="240" w:before="240" w:lineRule="auto"/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Loss of signal, insufficient coverage, or forced zeroing of confidence weights constitutes a physically significant condition that MUST propagate upward as uncertainty, degradation, or halt signals, rather than as stable state confirmation.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  <w:rtl w:val="0"/>
        </w:rPr>
        <w:t xml:space="preserve">9. Data Aggregation Method</w:t>
      </w:r>
    </w:p>
    <w:p w:rsidR="00000000" w:rsidDel="00000000" w:rsidP="00000000" w:rsidRDefault="00000000" w:rsidRPr="00000000" w14:paraId="00000059">
      <w:pPr>
        <w:shd w:fill="ffffff" w:val="clear"/>
        <w:rPr>
          <w:rFonts w:ascii="Roboto" w:cs="Roboto" w:eastAsia="Roboto" w:hAnsi="Roboto"/>
          <w:color w:val="1f1f1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rFonts w:ascii="Roboto" w:cs="Roboto" w:eastAsia="Roboto" w:hAnsi="Roboto"/>
          <w:color w:val="1f1f1f"/>
          <w:sz w:val="21"/>
          <w:szCs w:val="21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highlight w:val="white"/>
          <w:rtl w:val="0"/>
        </w:rPr>
        <w:t xml:space="preserve">The PTL aggregates admissible data using a deterministic Bayesian ensemble.</w:t>
      </w:r>
    </w:p>
    <w:p w:rsidR="00000000" w:rsidDel="00000000" w:rsidP="00000000" w:rsidRDefault="00000000" w:rsidRPr="00000000" w14:paraId="0000005B">
      <w:pPr>
        <w:numPr>
          <w:ilvl w:val="0"/>
          <w:numId w:val="3"/>
        </w:numPr>
        <w:shd w:fill="ffffff" w:val="clear"/>
        <w:spacing w:after="0" w:afterAutospacing="0" w:before="24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Oracle inputs act as likelihood updates, not votes</w:t>
      </w:r>
    </w:p>
    <w:p w:rsidR="00000000" w:rsidDel="00000000" w:rsidP="00000000" w:rsidRDefault="00000000" w:rsidRPr="00000000" w14:paraId="0000005C">
      <w:pPr>
        <w:numPr>
          <w:ilvl w:val="0"/>
          <w:numId w:val="3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Prior weights reflect long-term reliability</w:t>
      </w:r>
    </w:p>
    <w:p w:rsidR="00000000" w:rsidDel="00000000" w:rsidP="00000000" w:rsidRDefault="00000000" w:rsidRPr="00000000" w14:paraId="0000005D">
      <w:pPr>
        <w:numPr>
          <w:ilvl w:val="0"/>
          <w:numId w:val="3"/>
        </w:numPr>
        <w:shd w:fill="ffffff" w:val="clear"/>
        <w:spacing w:after="24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Posterior distributions define S(t)</w:t>
      </w:r>
    </w:p>
    <w:p w:rsidR="00000000" w:rsidDel="00000000" w:rsidP="00000000" w:rsidRDefault="00000000" w:rsidRPr="00000000" w14:paraId="0000005E">
      <w:pPr>
        <w:pStyle w:val="Heading1"/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</w:rPr>
      </w:pPr>
      <w:bookmarkStart w:colFirst="0" w:colLast="0" w:name="_34m2k0mwi2yl" w:id="9"/>
      <w:bookmarkEnd w:id="9"/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highlight w:val="white"/>
          <w:rtl w:val="0"/>
        </w:rPr>
        <w:t xml:space="preserve">Given identical inputs, aggregation MUST be reproducible.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  <w:rtl w:val="0"/>
        </w:rPr>
        <w:t xml:space="preserve">10. Divergence Detection and Arbitration</w:t>
      </w:r>
    </w:p>
    <w:p w:rsidR="00000000" w:rsidDel="00000000" w:rsidP="00000000" w:rsidRDefault="00000000" w:rsidRPr="00000000" w14:paraId="0000005F">
      <w:pPr>
        <w:numPr>
          <w:ilvl w:val="0"/>
          <w:numId w:val="5"/>
        </w:numPr>
        <w:shd w:fill="ffffff" w:val="clear"/>
        <w:spacing w:after="0" w:afterAutospacing="0" w:before="24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A Divergence Event is triggered when posterior distributions across independent oracle classes differ by more than 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sz w:val="21"/>
          <w:szCs w:val="21"/>
          <w:rtl w:val="0"/>
        </w:rPr>
        <w:t xml:space="preserve">7%</w:t>
      </w: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60">
      <w:pPr>
        <w:numPr>
          <w:ilvl w:val="0"/>
          <w:numId w:val="5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Upon Divergence Event:</w:t>
      </w:r>
    </w:p>
    <w:p w:rsidR="00000000" w:rsidDel="00000000" w:rsidP="00000000" w:rsidRDefault="00000000" w:rsidRPr="00000000" w14:paraId="00000061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A divergence flag is emitted</w:t>
      </w:r>
    </w:p>
    <w:p w:rsidR="00000000" w:rsidDel="00000000" w:rsidP="00000000" w:rsidRDefault="00000000" w:rsidRPr="00000000" w14:paraId="00000062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All dependent state-based transactions SHALL be frozen</w:t>
      </w:r>
    </w:p>
    <w:p w:rsidR="00000000" w:rsidDel="00000000" w:rsidP="00000000" w:rsidRDefault="00000000" w:rsidRPr="00000000" w14:paraId="00000063">
      <w:pPr>
        <w:numPr>
          <w:ilvl w:val="0"/>
          <w:numId w:val="5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Maximum arbitration window: 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sz w:val="21"/>
          <w:szCs w:val="21"/>
          <w:rtl w:val="0"/>
        </w:rPr>
        <w:t xml:space="preserve">14 days</w:t>
      </w:r>
    </w:p>
    <w:p w:rsidR="00000000" w:rsidDel="00000000" w:rsidP="00000000" w:rsidRDefault="00000000" w:rsidRPr="00000000" w14:paraId="00000064">
      <w:pPr>
        <w:numPr>
          <w:ilvl w:val="0"/>
          <w:numId w:val="5"/>
        </w:numPr>
        <w:shd w:fill="ffffff" w:val="clear"/>
        <w:spacing w:after="24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Resolution requires convergence within threshold or exclusion of faulty sources.</w:t>
      </w:r>
    </w:p>
    <w:p w:rsidR="00000000" w:rsidDel="00000000" w:rsidP="00000000" w:rsidRDefault="00000000" w:rsidRPr="00000000" w14:paraId="00000065">
      <w:pPr>
        <w:pStyle w:val="Heading1"/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</w:rPr>
      </w:pPr>
      <w:bookmarkStart w:colFirst="0" w:colLast="0" w:name="_8ayt18reg4aq" w:id="10"/>
      <w:bookmarkEnd w:id="10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  <w:rtl w:val="0"/>
        </w:rPr>
        <w:t xml:space="preserve">11. Outputs</w:t>
      </w:r>
    </w:p>
    <w:p w:rsidR="00000000" w:rsidDel="00000000" w:rsidP="00000000" w:rsidRDefault="00000000" w:rsidRPr="00000000" w14:paraId="00000066">
      <w:pPr>
        <w:shd w:fill="ffffff" w:val="clear"/>
        <w:rPr>
          <w:rFonts w:ascii="Roboto" w:cs="Roboto" w:eastAsia="Roboto" w:hAnsi="Roboto"/>
          <w:color w:val="1f1f1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>
          <w:rFonts w:ascii="Roboto" w:cs="Roboto" w:eastAsia="Roboto" w:hAnsi="Roboto"/>
          <w:color w:val="1f1f1f"/>
          <w:sz w:val="21"/>
          <w:szCs w:val="21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highlight w:val="white"/>
          <w:rtl w:val="0"/>
        </w:rPr>
        <w:t xml:space="preserve">The PTL produces the following immutable outputs:</w:t>
      </w:r>
    </w:p>
    <w:p w:rsidR="00000000" w:rsidDel="00000000" w:rsidP="00000000" w:rsidRDefault="00000000" w:rsidRPr="00000000" w14:paraId="00000068">
      <w:pPr>
        <w:numPr>
          <w:ilvl w:val="0"/>
          <w:numId w:val="12"/>
        </w:numPr>
        <w:shd w:fill="ffffff" w:val="clear"/>
        <w:spacing w:after="0" w:afterAutospacing="0" w:before="24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Signed Physical State Vector S(t)</w:t>
      </w:r>
    </w:p>
    <w:p w:rsidR="00000000" w:rsidDel="00000000" w:rsidP="00000000" w:rsidRDefault="00000000" w:rsidRPr="00000000" w14:paraId="00000069">
      <w:pPr>
        <w:numPr>
          <w:ilvl w:val="0"/>
          <w:numId w:val="12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Oracle confidence weights</w:t>
      </w:r>
    </w:p>
    <w:p w:rsidR="00000000" w:rsidDel="00000000" w:rsidP="00000000" w:rsidRDefault="00000000" w:rsidRPr="00000000" w14:paraId="0000006A">
      <w:pPr>
        <w:numPr>
          <w:ilvl w:val="0"/>
          <w:numId w:val="12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Coverage metrics</w:t>
      </w:r>
    </w:p>
    <w:p w:rsidR="00000000" w:rsidDel="00000000" w:rsidP="00000000" w:rsidRDefault="00000000" w:rsidRPr="00000000" w14:paraId="0000006B">
      <w:pPr>
        <w:numPr>
          <w:ilvl w:val="0"/>
          <w:numId w:val="12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Divergence flags</w:t>
      </w:r>
    </w:p>
    <w:p w:rsidR="00000000" w:rsidDel="00000000" w:rsidP="00000000" w:rsidRDefault="00000000" w:rsidRPr="00000000" w14:paraId="0000006C">
      <w:pPr>
        <w:numPr>
          <w:ilvl w:val="0"/>
          <w:numId w:val="12"/>
        </w:numPr>
        <w:shd w:fill="ffffff" w:val="clear"/>
        <w:spacing w:after="24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Raw Biosphere Integrity Index 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sz w:val="21"/>
          <w:szCs w:val="21"/>
          <w:rtl w:val="0"/>
        </w:rPr>
        <w:t xml:space="preserve">B(t)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highlight w:val="white"/>
          <w:rtl w:val="0"/>
        </w:rPr>
        <w:t xml:space="preserve">B(t) is a physically derived, unnormalized measure and contains no policy-level adjustments.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2"/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</w:rPr>
      </w:pPr>
      <w:bookmarkStart w:colFirst="0" w:colLast="0" w:name="_m2zudf3rke" w:id="11"/>
      <w:bookmarkEnd w:id="11"/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  <w:rtl w:val="0"/>
        </w:rPr>
        <w:t xml:space="preserve">12. Systemic Halt Conditions</w:t>
      </w:r>
    </w:p>
    <w:p w:rsidR="00000000" w:rsidDel="00000000" w:rsidP="00000000" w:rsidRDefault="00000000" w:rsidRPr="00000000" w14:paraId="0000006F">
      <w:pPr>
        <w:shd w:fill="ffffff" w:val="clear"/>
        <w:rPr>
          <w:rFonts w:ascii="Roboto" w:cs="Roboto" w:eastAsia="Roboto" w:hAnsi="Roboto"/>
          <w:color w:val="1f1f1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>
          <w:rFonts w:ascii="Roboto" w:cs="Roboto" w:eastAsia="Roboto" w:hAnsi="Roboto"/>
          <w:color w:val="1f1f1f"/>
          <w:sz w:val="21"/>
          <w:szCs w:val="21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highlight w:val="white"/>
          <w:rtl w:val="0"/>
        </w:rPr>
        <w:t xml:space="preserve">All dependent governance execution layers MUST halt if any of the following conditions occur:</w:t>
      </w:r>
    </w:p>
    <w:p w:rsidR="00000000" w:rsidDel="00000000" w:rsidP="00000000" w:rsidRDefault="00000000" w:rsidRPr="00000000" w14:paraId="00000071">
      <w:pPr>
        <w:rPr>
          <w:rFonts w:ascii="Roboto" w:cs="Roboto" w:eastAsia="Roboto" w:hAnsi="Roboto"/>
          <w:color w:val="1f1f1f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>
          <w:rFonts w:ascii="Roboto" w:cs="Roboto" w:eastAsia="Roboto" w:hAnsi="Roboto"/>
          <w:color w:val="1f1f1f"/>
          <w:sz w:val="21"/>
          <w:szCs w:val="21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highlight w:val="white"/>
          <w:rtl w:val="0"/>
        </w:rPr>
        <w:t xml:space="preserve">Systemic Halt semantics:</w:t>
      </w:r>
    </w:p>
    <w:p w:rsidR="00000000" w:rsidDel="00000000" w:rsidP="00000000" w:rsidRDefault="00000000" w:rsidRPr="00000000" w14:paraId="00000073">
      <w:pPr>
        <w:rPr>
          <w:rFonts w:ascii="Roboto" w:cs="Roboto" w:eastAsia="Roboto" w:hAnsi="Roboto"/>
          <w:color w:val="1f1f1f"/>
          <w:sz w:val="21"/>
          <w:szCs w:val="21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highlight w:val="white"/>
          <w:rtl w:val="0"/>
        </w:rPr>
        <w:t xml:space="preserve">Systemic Halt blocks execution of L2 and higher layers (Justice, Finance, Defense, Crisis, Upgrade, and all dependent execution logic).</w:t>
      </w:r>
    </w:p>
    <w:p w:rsidR="00000000" w:rsidDel="00000000" w:rsidP="00000000" w:rsidRDefault="00000000" w:rsidRPr="00000000" w14:paraId="00000074">
      <w:pPr>
        <w:rPr>
          <w:rFonts w:ascii="Roboto" w:cs="Roboto" w:eastAsia="Roboto" w:hAnsi="Roboto"/>
          <w:color w:val="1f1f1f"/>
          <w:sz w:val="21"/>
          <w:szCs w:val="21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highlight w:val="white"/>
          <w:rtl w:val="0"/>
        </w:rPr>
        <w:t xml:space="preserve">Systemic Halt SHALL NOT erase, reset, reinterpret, or invalidate L1 state.</w:t>
      </w:r>
    </w:p>
    <w:p w:rsidR="00000000" w:rsidDel="00000000" w:rsidP="00000000" w:rsidRDefault="00000000" w:rsidRPr="00000000" w14:paraId="00000075">
      <w:pPr>
        <w:rPr>
          <w:rFonts w:ascii="Roboto" w:cs="Roboto" w:eastAsia="Roboto" w:hAnsi="Roboto"/>
          <w:color w:val="1f1f1f"/>
          <w:sz w:val="21"/>
          <w:szCs w:val="21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highlight w:val="white"/>
          <w:rtl w:val="0"/>
        </w:rPr>
        <w:t xml:space="preserve">Identity attribution, impact records, and subject continuity remain preserved and immutable during Halt conditions.</w:t>
      </w:r>
    </w:p>
    <w:p w:rsidR="00000000" w:rsidDel="00000000" w:rsidP="00000000" w:rsidRDefault="00000000" w:rsidRPr="00000000" w14:paraId="00000076">
      <w:pPr>
        <w:rPr>
          <w:rFonts w:ascii="Roboto" w:cs="Roboto" w:eastAsia="Roboto" w:hAnsi="Roboto"/>
          <w:color w:val="1f1f1f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>
          <w:rFonts w:ascii="Roboto" w:cs="Roboto" w:eastAsia="Roboto" w:hAnsi="Roboto"/>
          <w:color w:val="1f1f1f"/>
          <w:sz w:val="21"/>
          <w:szCs w:val="21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highlight w:val="white"/>
          <w:rtl w:val="0"/>
        </w:rPr>
        <w:t xml:space="preserve">Conditions triggering Systemic Halt:</w:t>
      </w:r>
    </w:p>
    <w:p w:rsidR="00000000" w:rsidDel="00000000" w:rsidP="00000000" w:rsidRDefault="00000000" w:rsidRPr="00000000" w14:paraId="00000078">
      <w:pPr>
        <w:numPr>
          <w:ilvl w:val="0"/>
          <w:numId w:val="9"/>
        </w:numPr>
        <w:shd w:fill="ffffff" w:val="clear"/>
        <w:spacing w:after="0" w:afterAutospacing="0" w:before="24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Aggregate confidence falls below 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sz w:val="21"/>
          <w:szCs w:val="21"/>
          <w:rtl w:val="0"/>
        </w:rPr>
        <w:t xml:space="preserve">60%</w:t>
      </w:r>
    </w:p>
    <w:p w:rsidR="00000000" w:rsidDel="00000000" w:rsidP="00000000" w:rsidRDefault="00000000" w:rsidRPr="00000000" w14:paraId="00000079">
      <w:pPr>
        <w:numPr>
          <w:ilvl w:val="0"/>
          <w:numId w:val="9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Global coverage falls below the minimum operational threshold</w:t>
      </w:r>
    </w:p>
    <w:p w:rsidR="00000000" w:rsidDel="00000000" w:rsidP="00000000" w:rsidRDefault="00000000" w:rsidRPr="00000000" w14:paraId="0000007A">
      <w:pPr>
        <w:numPr>
          <w:ilvl w:val="0"/>
          <w:numId w:val="9"/>
        </w:numPr>
        <w:shd w:fill="ffffff" w:val="clear"/>
        <w:spacing w:after="24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Systemic oracle integrity is compromised</w:t>
      </w:r>
    </w:p>
    <w:p w:rsidR="00000000" w:rsidDel="00000000" w:rsidP="00000000" w:rsidRDefault="00000000" w:rsidRPr="00000000" w14:paraId="0000007B">
      <w:pPr>
        <w:rPr>
          <w:rFonts w:ascii="Roboto" w:cs="Roboto" w:eastAsia="Roboto" w:hAnsi="Roboto"/>
          <w:color w:val="1f1f1f"/>
          <w:sz w:val="21"/>
          <w:szCs w:val="21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highlight w:val="white"/>
          <w:rtl w:val="0"/>
        </w:rPr>
        <w:t xml:space="preserve">Crisis Mercy Exception</w:t>
      </w:r>
    </w:p>
    <w:p w:rsidR="00000000" w:rsidDel="00000000" w:rsidP="00000000" w:rsidRDefault="00000000" w:rsidRPr="00000000" w14:paraId="0000007C">
      <w:pPr>
        <w:shd w:fill="ffffff" w:val="clear"/>
        <w:rPr>
          <w:rFonts w:ascii="Roboto" w:cs="Roboto" w:eastAsia="Roboto" w:hAnsi="Roboto"/>
          <w:color w:val="1f1f1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>
          <w:rFonts w:ascii="Roboto" w:cs="Roboto" w:eastAsia="Roboto" w:hAnsi="Roboto"/>
          <w:color w:val="1f1f1f"/>
          <w:sz w:val="21"/>
          <w:szCs w:val="21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highlight w:val="white"/>
          <w:rtl w:val="0"/>
        </w:rPr>
        <w:t xml:space="preserve">If a Crisis Mercy status is formally activated under Appendix A.4 of the Code of Planetary Synergy, and the PTL confirms that oracle degradation is caused by non-anthropogenic global events, enforcement of Systemic Halt MAY be temporarily deferred.</w:t>
      </w:r>
    </w:p>
    <w:p w:rsidR="00000000" w:rsidDel="00000000" w:rsidP="00000000" w:rsidRDefault="00000000" w:rsidRPr="00000000" w14:paraId="0000007E">
      <w:pPr>
        <w:shd w:fill="ffffff" w:val="clear"/>
        <w:rPr>
          <w:rFonts w:ascii="Roboto" w:cs="Roboto" w:eastAsia="Roboto" w:hAnsi="Roboto"/>
          <w:color w:val="1f1f1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>
          <w:rFonts w:ascii="Roboto" w:cs="Roboto" w:eastAsia="Roboto" w:hAnsi="Roboto"/>
          <w:color w:val="1f1f1f"/>
          <w:sz w:val="21"/>
          <w:szCs w:val="21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highlight w:val="white"/>
          <w:rtl w:val="0"/>
        </w:rPr>
        <w:t xml:space="preserve">Such deferral:</w:t>
      </w:r>
    </w:p>
    <w:p w:rsidR="00000000" w:rsidDel="00000000" w:rsidP="00000000" w:rsidRDefault="00000000" w:rsidRPr="00000000" w14:paraId="00000080">
      <w:pPr>
        <w:numPr>
          <w:ilvl w:val="0"/>
          <w:numId w:val="8"/>
        </w:numPr>
        <w:shd w:fill="ffffff" w:val="clear"/>
        <w:spacing w:after="0" w:afterAutospacing="0" w:before="24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DOES NOT modify TTL values</w:t>
      </w:r>
    </w:p>
    <w:p w:rsidR="00000000" w:rsidDel="00000000" w:rsidP="00000000" w:rsidRDefault="00000000" w:rsidRPr="00000000" w14:paraId="00000081">
      <w:pPr>
        <w:numPr>
          <w:ilvl w:val="0"/>
          <w:numId w:val="8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DOES NOT restore stale data weights</w:t>
      </w:r>
    </w:p>
    <w:p w:rsidR="00000000" w:rsidDel="00000000" w:rsidP="00000000" w:rsidRDefault="00000000" w:rsidRPr="00000000" w14:paraId="00000082">
      <w:pPr>
        <w:numPr>
          <w:ilvl w:val="0"/>
          <w:numId w:val="8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DOES NOT alter aggregation logic</w:t>
      </w:r>
    </w:p>
    <w:p w:rsidR="00000000" w:rsidDel="00000000" w:rsidP="00000000" w:rsidRDefault="00000000" w:rsidRPr="00000000" w14:paraId="00000083">
      <w:pPr>
        <w:numPr>
          <w:ilvl w:val="0"/>
          <w:numId w:val="8"/>
        </w:numPr>
        <w:shd w:fill="ffffff" w:val="clear"/>
        <w:spacing w:after="24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IS strictly time-limited in accordance with Appendix A.4</w:t>
      </w:r>
    </w:p>
    <w:p w:rsidR="00000000" w:rsidDel="00000000" w:rsidP="00000000" w:rsidRDefault="00000000" w:rsidRPr="00000000" w14:paraId="00000084">
      <w:pPr>
        <w:pStyle w:val="Heading1"/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</w:rPr>
      </w:pPr>
      <w:bookmarkStart w:colFirst="0" w:colLast="0" w:name="_luvvr1rnpf77" w:id="12"/>
      <w:bookmarkEnd w:id="12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  <w:rtl w:val="0"/>
        </w:rPr>
        <w:t xml:space="preserve">13. Cross-Layer Isolation Invariant</w:t>
      </w:r>
    </w:p>
    <w:p w:rsidR="00000000" w:rsidDel="00000000" w:rsidP="00000000" w:rsidRDefault="00000000" w:rsidRPr="00000000" w14:paraId="00000085">
      <w:pPr>
        <w:shd w:fill="ffffff" w:val="clear"/>
        <w:rPr>
          <w:rFonts w:ascii="Roboto" w:cs="Roboto" w:eastAsia="Roboto" w:hAnsi="Roboto"/>
          <w:color w:val="1f1f1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>
          <w:rFonts w:ascii="Roboto" w:cs="Roboto" w:eastAsia="Roboto" w:hAnsi="Roboto"/>
          <w:color w:val="1f1f1f"/>
          <w:sz w:val="21"/>
          <w:szCs w:val="21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highlight w:val="white"/>
          <w:rtl w:val="0"/>
        </w:rPr>
        <w:t xml:space="preserve">No higher-layer protocol may:</w:t>
      </w:r>
    </w:p>
    <w:p w:rsidR="00000000" w:rsidDel="00000000" w:rsidP="00000000" w:rsidRDefault="00000000" w:rsidRPr="00000000" w14:paraId="00000087">
      <w:pPr>
        <w:numPr>
          <w:ilvl w:val="0"/>
          <w:numId w:val="4"/>
        </w:numPr>
        <w:shd w:fill="ffffff" w:val="clear"/>
        <w:spacing w:after="0" w:afterAutospacing="0" w:before="24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Influence oracle weights</w:t>
      </w:r>
    </w:p>
    <w:p w:rsidR="00000000" w:rsidDel="00000000" w:rsidP="00000000" w:rsidRDefault="00000000" w:rsidRPr="00000000" w14:paraId="00000088">
      <w:pPr>
        <w:numPr>
          <w:ilvl w:val="0"/>
          <w:numId w:val="4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Modify TTL values</w:t>
      </w:r>
    </w:p>
    <w:p w:rsidR="00000000" w:rsidDel="00000000" w:rsidP="00000000" w:rsidRDefault="00000000" w:rsidRPr="00000000" w14:paraId="00000089">
      <w:pPr>
        <w:numPr>
          <w:ilvl w:val="0"/>
          <w:numId w:val="4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Alter aggregation logic</w:t>
      </w:r>
    </w:p>
    <w:p w:rsidR="00000000" w:rsidDel="00000000" w:rsidP="00000000" w:rsidRDefault="00000000" w:rsidRPr="00000000" w14:paraId="0000008A">
      <w:pPr>
        <w:numPr>
          <w:ilvl w:val="0"/>
          <w:numId w:val="4"/>
        </w:numPr>
        <w:shd w:fill="ffffff" w:val="clear"/>
        <w:spacing w:after="24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Suppress divergence flags</w:t>
      </w:r>
    </w:p>
    <w:p w:rsidR="00000000" w:rsidDel="00000000" w:rsidP="00000000" w:rsidRDefault="00000000" w:rsidRPr="00000000" w14:paraId="0000008B">
      <w:pPr>
        <w:pStyle w:val="Heading1"/>
        <w:rPr/>
      </w:pPr>
      <w:bookmarkStart w:colFirst="0" w:colLast="0" w:name="_vjx0zxeh1iom" w:id="13"/>
      <w:bookmarkEnd w:id="13"/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highlight w:val="white"/>
          <w:rtl w:val="0"/>
        </w:rPr>
        <w:t xml:space="preserve">Violation constitutes a critical system integrity breach.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1"/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</w:rPr>
      </w:pPr>
      <w:bookmarkStart w:colFirst="0" w:colLast="0" w:name="_b4cdco2nicm1" w:id="14"/>
      <w:bookmarkEnd w:id="14"/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  <w:rtl w:val="0"/>
        </w:rPr>
        <w:t xml:space="preserve">14. Table of Constants</w:t>
      </w:r>
    </w:p>
    <w:tbl>
      <w:tblPr>
        <w:tblStyle w:val="Table1"/>
        <w:tblW w:w="2985.0" w:type="dxa"/>
        <w:jc w:val="left"/>
        <w:tblBorders>
          <w:top w:color="c4c7c5" w:space="0" w:sz="3" w:val="single"/>
          <w:left w:color="c4c7c5" w:space="0" w:sz="3" w:val="single"/>
          <w:bottom w:color="c4c7c5" w:space="0" w:sz="3" w:val="single"/>
          <w:right w:color="c4c7c5" w:space="0" w:sz="3" w:val="single"/>
          <w:insideH w:color="c4c7c5" w:space="0" w:sz="3" w:val="single"/>
          <w:insideV w:color="c4c7c5" w:space="0" w:sz="3" w:val="single"/>
        </w:tblBorders>
        <w:tblLayout w:type="fixed"/>
        <w:tblLook w:val="0600"/>
      </w:tblPr>
      <w:tblGrid>
        <w:gridCol w:w="2160"/>
        <w:gridCol w:w="825"/>
        <w:tblGridChange w:id="0">
          <w:tblGrid>
            <w:gridCol w:w="2160"/>
            <w:gridCol w:w="825"/>
          </w:tblGrid>
        </w:tblGridChange>
      </w:tblGrid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4c7c5" w:space="0" w:sz="3" w:val="single"/>
              <w:right w:color="c4c7c5" w:space="0" w:sz="3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jc w:val="center"/>
              <w:rPr>
                <w:rFonts w:ascii="Roboto" w:cs="Roboto" w:eastAsia="Roboto" w:hAnsi="Roboto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21"/>
                <w:szCs w:val="21"/>
                <w:rtl w:val="0"/>
              </w:rPr>
              <w:t xml:space="preserve">Parameter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4c7c5" w:space="0" w:sz="3" w:val="single"/>
              <w:right w:color="000000" w:space="0" w:sz="0" w:val="nil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jc w:val="center"/>
              <w:rPr>
                <w:rFonts w:ascii="Roboto" w:cs="Roboto" w:eastAsia="Roboto" w:hAnsi="Roboto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21"/>
                <w:szCs w:val="21"/>
                <w:rtl w:val="0"/>
              </w:rPr>
              <w:t xml:space="preserve">Value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4c7c5" w:space="0" w:sz="3" w:val="single"/>
              <w:right w:color="c4c7c5" w:space="0" w:sz="3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rPr>
                <w:rFonts w:ascii="Roboto" w:cs="Roboto" w:eastAsia="Roboto" w:hAnsi="Roboto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21"/>
                <w:szCs w:val="21"/>
                <w:rtl w:val="0"/>
              </w:rPr>
              <w:t xml:space="preserve">Max oracle source weight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4c7c5" w:space="0" w:sz="3" w:val="single"/>
              <w:right w:color="000000" w:space="0" w:sz="0" w:val="nil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rPr>
                <w:rFonts w:ascii="Roboto" w:cs="Roboto" w:eastAsia="Roboto" w:hAnsi="Roboto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21"/>
                <w:szCs w:val="21"/>
                <w:rtl w:val="0"/>
              </w:rPr>
              <w:t xml:space="preserve">4%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4c7c5" w:space="0" w:sz="3" w:val="single"/>
              <w:right w:color="c4c7c5" w:space="0" w:sz="3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rPr>
                <w:rFonts w:ascii="Roboto" w:cs="Roboto" w:eastAsia="Roboto" w:hAnsi="Roboto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21"/>
                <w:szCs w:val="21"/>
                <w:rtl w:val="0"/>
              </w:rPr>
              <w:t xml:space="preserve">Max oracle owner weight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4c7c5" w:space="0" w:sz="3" w:val="single"/>
              <w:right w:color="000000" w:space="0" w:sz="0" w:val="nil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rPr>
                <w:rFonts w:ascii="Roboto" w:cs="Roboto" w:eastAsia="Roboto" w:hAnsi="Roboto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21"/>
                <w:szCs w:val="21"/>
                <w:rtl w:val="0"/>
              </w:rPr>
              <w:t xml:space="preserve">4%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4c7c5" w:space="0" w:sz="3" w:val="single"/>
              <w:right w:color="c4c7c5" w:space="0" w:sz="3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rPr>
                <w:rFonts w:ascii="Roboto" w:cs="Roboto" w:eastAsia="Roboto" w:hAnsi="Roboto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21"/>
                <w:szCs w:val="21"/>
                <w:rtl w:val="0"/>
              </w:rPr>
              <w:t xml:space="preserve">Divergence threshold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4c7c5" w:space="0" w:sz="3" w:val="single"/>
              <w:right w:color="000000" w:space="0" w:sz="0" w:val="nil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rPr>
                <w:rFonts w:ascii="Roboto" w:cs="Roboto" w:eastAsia="Roboto" w:hAnsi="Roboto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21"/>
                <w:szCs w:val="21"/>
                <w:rtl w:val="0"/>
              </w:rPr>
              <w:t xml:space="preserve">7%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4c7c5" w:space="0" w:sz="3" w:val="single"/>
              <w:right w:color="c4c7c5" w:space="0" w:sz="3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rPr>
                <w:rFonts w:ascii="Roboto" w:cs="Roboto" w:eastAsia="Roboto" w:hAnsi="Roboto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21"/>
                <w:szCs w:val="21"/>
                <w:rtl w:val="0"/>
              </w:rPr>
              <w:t xml:space="preserve">Arbitration window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4c7c5" w:space="0" w:sz="3" w:val="single"/>
              <w:right w:color="000000" w:space="0" w:sz="0" w:val="nil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rPr>
                <w:rFonts w:ascii="Roboto" w:cs="Roboto" w:eastAsia="Roboto" w:hAnsi="Roboto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21"/>
                <w:szCs w:val="21"/>
                <w:rtl w:val="0"/>
              </w:rPr>
              <w:t xml:space="preserve">14 days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4c7c5" w:space="0" w:sz="3" w:val="single"/>
              <w:right w:color="c4c7c5" w:space="0" w:sz="3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rPr>
                <w:rFonts w:ascii="Roboto" w:cs="Roboto" w:eastAsia="Roboto" w:hAnsi="Roboto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21"/>
                <w:szCs w:val="21"/>
                <w:rtl w:val="0"/>
              </w:rPr>
              <w:t xml:space="preserve">Systemic confidence halt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4c7c5" w:space="0" w:sz="3" w:val="single"/>
              <w:right w:color="000000" w:space="0" w:sz="0" w:val="nil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rPr>
                <w:rFonts w:ascii="Roboto" w:cs="Roboto" w:eastAsia="Roboto" w:hAnsi="Roboto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21"/>
                <w:szCs w:val="21"/>
                <w:rtl w:val="0"/>
              </w:rPr>
              <w:t xml:space="preserve">&lt; 60%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c4c7c5" w:space="0" w:sz="3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rPr>
                <w:rFonts w:ascii="Roboto" w:cs="Roboto" w:eastAsia="Roboto" w:hAnsi="Roboto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21"/>
                <w:szCs w:val="21"/>
                <w:rtl w:val="0"/>
              </w:rPr>
              <w:t xml:space="preserve">Minimum global coverage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rPr>
                <w:rFonts w:ascii="Roboto" w:cs="Roboto" w:eastAsia="Roboto" w:hAnsi="Roboto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21"/>
                <w:szCs w:val="21"/>
                <w:rtl w:val="0"/>
              </w:rPr>
              <w:t xml:space="preserve">80%</w:t>
            </w:r>
          </w:p>
        </w:tc>
      </w:tr>
    </w:tbl>
    <w:p w:rsidR="00000000" w:rsidDel="00000000" w:rsidP="00000000" w:rsidRDefault="00000000" w:rsidRPr="00000000" w14:paraId="0000009B">
      <w:pPr>
        <w:pStyle w:val="Heading1"/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</w:rPr>
      </w:pPr>
      <w:bookmarkStart w:colFirst="0" w:colLast="0" w:name="_rut03bya3t1r" w:id="15"/>
      <w:bookmarkEnd w:id="15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  <w:rtl w:val="0"/>
        </w:rPr>
        <w:t xml:space="preserve">15. TTL Registry (Normative)</w:t>
      </w:r>
    </w:p>
    <w:tbl>
      <w:tblPr>
        <w:tblStyle w:val="Table2"/>
        <w:tblW w:w="4005.0" w:type="dxa"/>
        <w:jc w:val="left"/>
        <w:tblBorders>
          <w:top w:color="c4c7c5" w:space="0" w:sz="3" w:val="single"/>
          <w:left w:color="c4c7c5" w:space="0" w:sz="3" w:val="single"/>
          <w:bottom w:color="c4c7c5" w:space="0" w:sz="3" w:val="single"/>
          <w:right w:color="c4c7c5" w:space="0" w:sz="3" w:val="single"/>
          <w:insideH w:color="c4c7c5" w:space="0" w:sz="3" w:val="single"/>
          <w:insideV w:color="c4c7c5" w:space="0" w:sz="3" w:val="single"/>
        </w:tblBorders>
        <w:tblLayout w:type="fixed"/>
        <w:tblLook w:val="0600"/>
      </w:tblPr>
      <w:tblGrid>
        <w:gridCol w:w="2595"/>
        <w:gridCol w:w="1410"/>
        <w:tblGridChange w:id="0">
          <w:tblGrid>
            <w:gridCol w:w="2595"/>
            <w:gridCol w:w="1410"/>
          </w:tblGrid>
        </w:tblGridChange>
      </w:tblGrid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4c7c5" w:space="0" w:sz="3" w:val="single"/>
              <w:right w:color="c4c7c5" w:space="0" w:sz="3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Roboto" w:cs="Roboto" w:eastAsia="Roboto" w:hAnsi="Roboto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21"/>
                <w:szCs w:val="21"/>
                <w:rtl w:val="0"/>
              </w:rPr>
              <w:t xml:space="preserve">Data Type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4c7c5" w:space="0" w:sz="3" w:val="single"/>
              <w:right w:color="000000" w:space="0" w:sz="0" w:val="nil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jc w:val="center"/>
              <w:rPr>
                <w:rFonts w:ascii="Roboto" w:cs="Roboto" w:eastAsia="Roboto" w:hAnsi="Roboto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21"/>
                <w:szCs w:val="21"/>
                <w:rtl w:val="0"/>
              </w:rPr>
              <w:t xml:space="preserve">Maximum TTL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4c7c5" w:space="0" w:sz="3" w:val="single"/>
              <w:right w:color="c4c7c5" w:space="0" w:sz="3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rPr>
                <w:rFonts w:ascii="Roboto" w:cs="Roboto" w:eastAsia="Roboto" w:hAnsi="Roboto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Andika" w:cs="Andika" w:eastAsia="Andika" w:hAnsi="Andika"/>
                <w:color w:val="1f1f1f"/>
                <w:sz w:val="21"/>
                <w:szCs w:val="21"/>
                <w:rtl w:val="0"/>
              </w:rPr>
              <w:t xml:space="preserve">Atmospheric CO₂ concentration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4c7c5" w:space="0" w:sz="3" w:val="single"/>
              <w:right w:color="000000" w:space="0" w:sz="0" w:val="nil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rPr>
                <w:rFonts w:ascii="Roboto" w:cs="Roboto" w:eastAsia="Roboto" w:hAnsi="Roboto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21"/>
                <w:szCs w:val="21"/>
                <w:rtl w:val="0"/>
              </w:rPr>
              <w:t xml:space="preserve">1 hour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4c7c5" w:space="0" w:sz="3" w:val="single"/>
              <w:right w:color="c4c7c5" w:space="0" w:sz="3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rPr>
                <w:rFonts w:ascii="Roboto" w:cs="Roboto" w:eastAsia="Roboto" w:hAnsi="Roboto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21"/>
                <w:szCs w:val="21"/>
                <w:rtl w:val="0"/>
              </w:rPr>
              <w:t xml:space="preserve">Surface temperature (land/sea)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4c7c5" w:space="0" w:sz="3" w:val="single"/>
              <w:right w:color="000000" w:space="0" w:sz="0" w:val="nil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rPr>
                <w:rFonts w:ascii="Roboto" w:cs="Roboto" w:eastAsia="Roboto" w:hAnsi="Roboto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21"/>
                <w:szCs w:val="21"/>
                <w:rtl w:val="0"/>
              </w:rPr>
              <w:t xml:space="preserve">24 hours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4c7c5" w:space="0" w:sz="3" w:val="single"/>
              <w:right w:color="c4c7c5" w:space="0" w:sz="3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rPr>
                <w:rFonts w:ascii="Roboto" w:cs="Roboto" w:eastAsia="Roboto" w:hAnsi="Roboto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21"/>
                <w:szCs w:val="21"/>
                <w:rtl w:val="0"/>
              </w:rPr>
              <w:t xml:space="preserve">Active fire detection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4c7c5" w:space="0" w:sz="3" w:val="single"/>
              <w:right w:color="000000" w:space="0" w:sz="0" w:val="nil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rPr>
                <w:rFonts w:ascii="Roboto" w:cs="Roboto" w:eastAsia="Roboto" w:hAnsi="Roboto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21"/>
                <w:szCs w:val="21"/>
                <w:rtl w:val="0"/>
              </w:rPr>
              <w:t xml:space="preserve">10 minutes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4c7c5" w:space="0" w:sz="3" w:val="single"/>
              <w:right w:color="c4c7c5" w:space="0" w:sz="3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rPr>
                <w:rFonts w:ascii="Roboto" w:cs="Roboto" w:eastAsia="Roboto" w:hAnsi="Roboto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21"/>
                <w:szCs w:val="21"/>
                <w:rtl w:val="0"/>
              </w:rPr>
              <w:t xml:space="preserve">Biodiversity indices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4c7c5" w:space="0" w:sz="3" w:val="single"/>
              <w:right w:color="000000" w:space="0" w:sz="0" w:val="nil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rPr>
                <w:rFonts w:ascii="Roboto" w:cs="Roboto" w:eastAsia="Roboto" w:hAnsi="Roboto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21"/>
                <w:szCs w:val="21"/>
                <w:rtl w:val="0"/>
              </w:rPr>
              <w:t xml:space="preserve">30 days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c4c7c5" w:space="0" w:sz="3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rPr>
                <w:rFonts w:ascii="Roboto" w:cs="Roboto" w:eastAsia="Roboto" w:hAnsi="Roboto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21"/>
                <w:szCs w:val="21"/>
                <w:rtl w:val="0"/>
              </w:rPr>
              <w:t xml:space="preserve">Land-use change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rPr>
                <w:rFonts w:ascii="Roboto" w:cs="Roboto" w:eastAsia="Roboto" w:hAnsi="Roboto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sz w:val="21"/>
                <w:szCs w:val="21"/>
                <w:rtl w:val="0"/>
              </w:rPr>
              <w:t xml:space="preserve">7 days</w:t>
            </w:r>
          </w:p>
        </w:tc>
      </w:tr>
    </w:tbl>
    <w:p w:rsidR="00000000" w:rsidDel="00000000" w:rsidP="00000000" w:rsidRDefault="00000000" w:rsidRPr="00000000" w14:paraId="000000A8">
      <w:pPr>
        <w:pStyle w:val="Heading1"/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</w:rPr>
      </w:pPr>
      <w:bookmarkStart w:colFirst="0" w:colLast="0" w:name="_7dta0ur2ccrd" w:id="16"/>
      <w:bookmarkEnd w:id="16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  <w:rtl w:val="0"/>
        </w:rPr>
        <w:t xml:space="preserve">16. Non-Override and Finality</w:t>
      </w:r>
    </w:p>
    <w:p w:rsidR="00000000" w:rsidDel="00000000" w:rsidP="00000000" w:rsidRDefault="00000000" w:rsidRPr="00000000" w14:paraId="000000A9">
      <w:pPr>
        <w:shd w:fill="ffffff" w:val="clear"/>
        <w:rPr>
          <w:rFonts w:ascii="Roboto" w:cs="Roboto" w:eastAsia="Roboto" w:hAnsi="Roboto"/>
          <w:color w:val="1f1f1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>
          <w:rFonts w:ascii="Roboto" w:cs="Roboto" w:eastAsia="Roboto" w:hAnsi="Roboto"/>
          <w:color w:val="1f1f1f"/>
          <w:sz w:val="21"/>
          <w:szCs w:val="21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highlight w:val="white"/>
          <w:rtl w:val="0"/>
        </w:rPr>
        <w:t xml:space="preserve">This protocol is immutable once deployed.</w:t>
      </w:r>
    </w:p>
    <w:p w:rsidR="00000000" w:rsidDel="00000000" w:rsidP="00000000" w:rsidRDefault="00000000" w:rsidRPr="00000000" w14:paraId="000000AB">
      <w:pPr>
        <w:shd w:fill="ffffff" w:val="clear"/>
        <w:rPr>
          <w:rFonts w:ascii="Roboto" w:cs="Roboto" w:eastAsia="Roboto" w:hAnsi="Roboto"/>
          <w:color w:val="1f1f1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highlight w:val="white"/>
          <w:rtl w:val="0"/>
        </w:rPr>
        <w:t xml:space="preserve">Any modification requires a new protocol identifier and explicit incompatibility declaration.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ndik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color w:val="1f1f1f"/>
        <w:sz w:val="21"/>
        <w:szCs w:val="21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color w:val="1f1f1f"/>
        <w:sz w:val="21"/>
        <w:szCs w:val="21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color w:val="1f1f1f"/>
        <w:sz w:val="21"/>
        <w:szCs w:val="21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color w:val="1f1f1f"/>
        <w:sz w:val="21"/>
        <w:szCs w:val="21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color w:val="1f1f1f"/>
        <w:sz w:val="21"/>
        <w:szCs w:val="21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color w:val="1f1f1f"/>
        <w:sz w:val="21"/>
        <w:szCs w:val="21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color w:val="1f1f1f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ndika-regular.ttf"/><Relationship Id="rId2" Type="http://schemas.openxmlformats.org/officeDocument/2006/relationships/font" Target="fonts/Andika-bold.ttf"/><Relationship Id="rId3" Type="http://schemas.openxmlformats.org/officeDocument/2006/relationships/font" Target="fonts/Andika-italic.ttf"/><Relationship Id="rId4" Type="http://schemas.openxmlformats.org/officeDocument/2006/relationships/font" Target="fonts/Andika-boldItalic.ttf"/><Relationship Id="rId5" Type="http://schemas.openxmlformats.org/officeDocument/2006/relationships/font" Target="fonts/Roboto-regular.ttf"/><Relationship Id="rId6" Type="http://schemas.openxmlformats.org/officeDocument/2006/relationships/font" Target="fonts/Roboto-bold.ttf"/><Relationship Id="rId7" Type="http://schemas.openxmlformats.org/officeDocument/2006/relationships/font" Target="fonts/Roboto-italic.ttf"/><Relationship Id="rId8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