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DKP-6-EXIT-001</w:t>
        <w:br w:type="textWrapping"/>
        <w:t xml:space="preserve">Exit Protocol</w:t>
        <w:br w:type="textWrapping"/>
        <w:t xml:space="preserve">Version: 1.0</w:t>
        <w:br w:type="textWrapping"/>
        <w:t xml:space="preserve">Status: Draft</w:t>
        <w:br w:type="textWrapping"/>
        <w:t xml:space="preserve">Layer: L6 — Intersystem Level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Preamble</w:t>
        <w:br w:type="textWrapping"/>
        <w:t xml:space="preserve">DKP-6-EXIT-001 formalizes the unconditional right of any Subject, region, or jurisdiction to exit the Dikenocracy system.</w:t>
        <w:br w:type="textWrapping"/>
        <w:t xml:space="preserve">Exit is treated as a structural safety mechanism, not as defection, hostility, or failure.</w:t>
        <w:br w:type="textWrapping"/>
        <w:t xml:space="preserve">This protocol exists to prevent coercive lock-in, systemic capture, and irreversible dependency.</w:t>
        <w:br w:type="textWrapping"/>
        <w:t xml:space="preserve">No system claiming legitimacy may deny the right to leave.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Purpose</w:t>
        <w:br w:type="textWrapping"/>
        <w:t xml:space="preserve">The purpose of DKP-6-EXIT-001 is to:</w:t>
        <w:br w:type="textWrapping"/>
        <w:t xml:space="preserve">ensure voluntary participation in Dikenocracy at all levels,</w:t>
        <w:br w:type="textWrapping"/>
        <w:t xml:space="preserve">prevent enforcement through inescapability,</w:t>
        <w:br w:type="textWrapping"/>
        <w:t xml:space="preserve">formalize the consequences of exit without punitive escalation,</w:t>
        <w:br w:type="textWrapping"/>
        <w:t xml:space="preserve">guarantee reversibility of system membership,</w:t>
        <w:br w:type="textWrapping"/>
        <w:t xml:space="preserve">protect system stability during disengagement.</w:t>
        <w:br w:type="textWrapping"/>
        <w:t xml:space="preserve">Exit is a right, not a sanction.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System Position</w:t>
        <w:br w:type="textWrapping"/>
        <w:t xml:space="preserve">DKP-6-EXIT-001 operates:</w:t>
        <w:br w:type="textWrapping"/>
        <w:t xml:space="preserve">upstream of DKP-4-CRISIS-001,</w:t>
        <w:br w:type="textWrapping"/>
        <w:t xml:space="preserve">parallel to DKP-6-INTEGRATION-001,</w:t>
        <w:br w:type="textWrapping"/>
        <w:t xml:space="preserve">downstream of DKP-1-IDENTITY-001,</w:t>
        <w:br w:type="textWrapping"/>
        <w:t xml:space="preserve">downstream of DKP-2-FINANCE-001,</w:t>
        <w:br w:type="textWrapping"/>
        <w:t xml:space="preserve">constrained by DKP-7-SCOPE-001.</w:t>
        <w:br w:type="textWrapping"/>
        <w:t xml:space="preserve">This protocol SHALL NOT:</w:t>
        <w:br w:type="textWrapping"/>
        <w:t xml:space="preserve">prohibit exit under any circumstances,</w:t>
        <w:br w:type="textWrapping"/>
        <w:t xml:space="preserve">criminalize exit decisions,</w:t>
        <w:br w:type="textWrapping"/>
        <w:t xml:space="preserve">convert exit into a coercive tool,</w:t>
        <w:br w:type="textWrapping"/>
        <w:t xml:space="preserve">permit indefinite suspension of exit rights.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Definitions</w:t>
        <w:br w:type="textWrapping"/>
        <w:t xml:space="preserve">Exit — a formal termination of participation in DKP governance, execution, and incentive mechanisms.</w:t>
        <w:br w:type="textWrapping"/>
        <w:t xml:space="preserve">Exiting Subject — an individual, region, or jurisdiction initiating exit.</w:t>
        <w:br w:type="textWrapping"/>
        <w:t xml:space="preserve">Exit Event — the time-indexed execution of exit.</w:t>
        <w:br w:type="textWrapping"/>
        <w:t xml:space="preserve">Restitution Tail — residual obligations arising from verified past actions under DKP.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Right to Exit</w:t>
        <w:br w:type="textWrapping"/>
        <w:t xml:space="preserve">Any Subject or jurisdiction MAY initiate exit at any time.</w:t>
        <w:br w:type="textWrapping"/>
        <w:t xml:space="preserve">Exit SHALL NOT require justification, approval, or vote.</w:t>
        <w:br w:type="textWrapping"/>
        <w:t xml:space="preserve">Exit SHALL NOT be blocked by economic status, political conflict, or crisis conditions.</w:t>
        <w:br w:type="textWrapping"/>
        <w:t xml:space="preserve">Exit is valid upon protocol-compliant declaration.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Exit Procedure</w:t>
        <w:br w:type="textWrapping"/>
        <w:t xml:space="preserve">Exit initiation requires:</w:t>
        <w:br w:type="textWrapping"/>
        <w:t xml:space="preserve">cryptographically signed declaration of exit intent,</w:t>
        <w:br w:type="textWrapping"/>
        <w:t xml:space="preserve">definition of exit scope (individual, organizational, regional, jurisdictional),</w:t>
        <w:br w:type="textWrapping"/>
        <w:t xml:space="preserve">PTL timestamp anchoring.</w:t>
        <w:br w:type="textWrapping"/>
        <w:t xml:space="preserve">Exit execution occurs after a fixed cooling period defined by DKP-8-SIMULATION-001.</w:t>
        <w:br w:type="textWrapping"/>
        <w:t xml:space="preserve">The cooling period exists to:</w:t>
        <w:br w:type="textWrapping"/>
        <w:t xml:space="preserve">prevent cascading instability,</w:t>
        <w:br w:type="textWrapping"/>
        <w:t xml:space="preserve">allow settlement of restitution tails,</w:t>
        <w:br w:type="textWrapping"/>
        <w:t xml:space="preserve">ensure orderly disengagement.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Consequences of Exit</w:t>
        <w:br w:type="textWrapping"/>
        <w:t xml:space="preserve">Upon completion of exit:</w:t>
        <w:br w:type="textWrapping"/>
        <w:t xml:space="preserve">all future DKP obligations cease,</w:t>
        <w:br w:type="textWrapping"/>
        <w:t xml:space="preserve">all future DKP benefits cease,</w:t>
        <w:br w:type="textWrapping"/>
        <w:t xml:space="preserve">all governance, enforcement, and incentive mechanisms disengage.</w:t>
        <w:br w:type="textWrapping"/>
        <w:t xml:space="preserve">Exit SHALL NOT:</w:t>
        <w:br w:type="textWrapping"/>
        <w:t xml:space="preserve">annul historical responsibility,</w:t>
        <w:br w:type="textWrapping"/>
        <w:t xml:space="preserve">erase impact records,</w:t>
        <w:br w:type="textWrapping"/>
        <w:t xml:space="preserve">void restitution obligations.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Restitution Tail</w:t>
        <w:br w:type="textWrapping"/>
        <w:t xml:space="preserve">Verified liabilities incurred prior to exit remain enforceable.</w:t>
        <w:br w:type="textWrapping"/>
        <w:t xml:space="preserve">Restitution is limited to:</w:t>
        <w:br w:type="textWrapping"/>
        <w:t xml:space="preserve">physically verified harm,</w:t>
        <w:br w:type="textWrapping"/>
        <w:t xml:space="preserve">contractual obligations explicitly accepted under DKP,</w:t>
        <w:br w:type="textWrapping"/>
        <w:t xml:space="preserve">unresolved impact costs measured prior to exit.</w:t>
        <w:br w:type="textWrapping"/>
        <w:t xml:space="preserve">Restitution SHALL NOT:</w:t>
        <w:br w:type="textWrapping"/>
        <w:t xml:space="preserve">include ideological non-compliance,</w:t>
        <w:br w:type="textWrapping"/>
        <w:t xml:space="preserve">punitive damages,</w:t>
        <w:br w:type="textWrapping"/>
        <w:t xml:space="preserve">hypothetical or projected losses.</w:t>
        <w:br w:type="textWrapping"/>
        <w:t xml:space="preserve">No new obligations may be generated after exit declaration.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and Data Separation</w:t>
        <w:br w:type="textWrapping"/>
        <w:t xml:space="preserve">Upon exit:</w:t>
        <w:br w:type="textWrapping"/>
        <w:t xml:space="preserve">assets governed by DKP smart contracts are settled per DKP-2-FINANCE-001,</w:t>
        <w:br w:type="textWrapping"/>
        <w:t xml:space="preserve">personal data is frozen and archived,</w:t>
        <w:br w:type="textWrapping"/>
        <w:t xml:space="preserve">no new data collection is permitted.</w:t>
        <w:br w:type="textWrapping"/>
        <w:t xml:space="preserve">Data retention is limited to:</w:t>
        <w:br w:type="textWrapping"/>
        <w:t xml:space="preserve">auditing,</w:t>
        <w:br w:type="textWrapping"/>
        <w:t xml:space="preserve">historical continuity,</w:t>
        <w:br w:type="textWrapping"/>
        <w:t xml:space="preserve">restitution verification.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Re-Entry</w:t>
        <w:br w:type="textWrapping"/>
        <w:t xml:space="preserve">Exited Subjects MAY reapply for integration under DKP-6-INTEGRATION-001.</w:t>
        <w:br w:type="textWrapping"/>
        <w:t xml:space="preserve">Re-entry SHALL NOT be penalized.</w:t>
        <w:br w:type="textWrapping"/>
        <w:t xml:space="preserve">Prior exit history SHALL NOT constitute disqualification.</w:t>
        <w:br w:type="textWrapping"/>
        <w:t xml:space="preserve">Outstanding restitution obligations MUST be resolved prior to re-entry.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Prohibited Practices</w:t>
        <w:br w:type="textWrapping"/>
        <w:t xml:space="preserve">The following are forbidden:</w:t>
        <w:br w:type="textWrapping"/>
        <w:t xml:space="preserve">denial of exit rights,</w:t>
        <w:br w:type="textWrapping"/>
        <w:t xml:space="preserve">use of exit as collective punishment,</w:t>
        <w:br w:type="textWrapping"/>
        <w:t xml:space="preserve">retaliatory sanctions beyond restitution,</w:t>
        <w:br w:type="textWrapping"/>
        <w:t xml:space="preserve">propaganda framing exit as treason or hostility,</w:t>
        <w:br w:type="textWrapping"/>
        <w:t xml:space="preserve">exit-conditioned violence or coercion.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Scope Limitations</w:t>
        <w:br w:type="textWrapping"/>
        <w:t xml:space="preserve">DKP-6-EXIT-001 SHALL NOT:</w:t>
        <w:br w:type="textWrapping"/>
        <w:t xml:space="preserve">regulate non-DKP systems post-exit,</w:t>
        <w:br w:type="textWrapping"/>
        <w:t xml:space="preserve">extend jurisdiction beyond exit point,</w:t>
        <w:br w:type="textWrapping"/>
        <w:t xml:space="preserve">interfere with sovereignty after disengagement.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Finality Clause</w:t>
        <w:br w:type="textWrapping"/>
        <w:t xml:space="preserve">Once frozen:</w:t>
        <w:br w:type="textWrapping"/>
        <w:t xml:space="preserve">any modification requires a new protocol identifier,</w:t>
        <w:br w:type="textWrapping"/>
        <w:t xml:space="preserve">mandatory simulation under DKP-8-SIMULATION-001,</w:t>
        <w:br w:type="textWrapping"/>
        <w:t xml:space="preserve">explicit compatibility declaration with DKP-7-SCOPE-001.</w:t>
        <w:br w:type="textWrapping"/>
        <w:t xml:space="preserve">Protocol Hash (SHA-256): [to be inserted at freeze]</w:t>
        <w:br w:type="textWrapping"/>
        <w:t xml:space="preserve">END OF PROTOCOL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