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DKP-5-CULTURE-001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Culture &amp; Language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L5 — Human Infrastructure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DKP-5-CULTURE-001 defines culture and language as critical components of human cognitive infrastructure within Dikenocracy.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protocol exists to preserve cultural plurality, linguistic diversity, and heterogeneous cognitive models, and to prevent systemic dominance of any single cultural, ideological, or semantic framework.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Culture within DKP is not treated as ideology, belief, or identity enforcement.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It is treated as a distributed cognitive environment that shapes interpretation, meaning-making, creativity, and social resilience.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This protocol explicitly rejects cultural optimization, convergence, homogenization, or ranking.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The purpose of DKP-5-CULTURE-001 is to: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protect linguistic and cultural diversity as a system stability requirement,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prevent domination by a single cognitive or semantic model,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preserve minority and non-dominant cultural systems,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ensure cultural non-interference by governance algorithms,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decouple cultural expression from political legitimacy, economic advantage, or system trust.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This protocol does not define cultural values.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It defines hard boundaries against cultural suppression, capture, or instrumentalization.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DKP-5-CULTURE-001 operates: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DKP-1-AXIOMS-001.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Parallel to: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DKP-5-EDU-001,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DKP-5-INFO-001.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identity-neutral social and communicative interfaces.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Constrained by: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DKP-7-SCOPE-001,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DKP-8-SIMULATION-001.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define belief systems or moral doctrines,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evaluate cultural content for correctness,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impose language hierarchies,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regulate personal identity or belief.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3. Definitions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Culture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 shared system of symbols, narratives, practices, and meaning-making structures transmitted socially rather than genetically.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Language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A structured symbolic system enabling communication, abstraction, and cognitive modeling.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Cognitive Model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 culturally influenced framework through which Subjects interpret reality, causality, and value.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Cultural Dominance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A condition in which a single culture, language, or cognitive model gains systemic advantage that suppresses alternative models.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Cultural Exception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 temporary, non-enforceable allowance granted to preserve cultural expression in conflict scenarios, without overriding higher-layer constraints.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4. Core Principles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4.1 Cultural Non-Domination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No culture, language, or cognitive model SHALL be granted systemic priority.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Governance algorithms MUST remain culture-neutral and language-agnostic.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No cultural framework may be treated as: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a default,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 baseline,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a reference model.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4.2 Linguistic Parity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All officially supported system interfaces SHALL be linguistically neutral.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Translation layers MUST: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preserve semantic fidelity,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preserve agency and intent,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avoid normative framing.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Lossy translation that alters meaning, agency, or intent constitutes a protocol violation.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4.3 Cultural Non-Optimization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Culture SHALL NOT be: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optimized,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ranked,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scored,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converged.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No metric may evaluate cultural “efficiency”, “progress”, or “superiority”.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Cultural persistence SHALL NOT be required to justify itself via: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economic performance,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demographic scale,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productivity metrics.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5. Prohibited Practices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enforcement of cultural conformity,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suppression or marginalization of minority languages,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economic incentives tied to cultural assimilation,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algorithmic amplification of a dominant cultural narrative,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use of culture or language as a proxy for: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trust,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risk,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competence,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loyalty.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6. Protection of Minority and Non-Dominant Cultures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Minority cultures and languages SHALL be protected from: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systemic exclusion from public or system interfaces,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forced translation into dominant semantic frameworks,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erosion through algorithmic visibility bias.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Preservation mechanisms MAY include: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guaranteed interface availability,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archival and documentation support,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non-preferential access to infrastructure.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No preservation mechanism may: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impose behavioral obligations,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mandate participation,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require cultural self-identification.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7. Cultural Expression and Autonomy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Subjects retain full autonomy over cultural expression.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Participation in cultural systems SHALL be strictly voluntary.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No cultural affiliation SHALL affect: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legal status,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access to justice,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economic participation,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system privileges or obligations.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Cultural neutrality applies equally to dominant and minority cultures.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8. Interface Design Constraints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Human–system interfaces MUST: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avoid culturally loaded symbols by default,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support plural symbolic representations,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allow Subjects to select preferred linguistic and cultural contexts.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Default settings SHALL NOT encode: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cultural assumptions,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semantic hierarchies,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implicit normative frames.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9. Conflict and Override Rules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Cultural protection SHALL NOT override: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PTL-verified physical harm (DKP-0-ORACLE-001),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life-preservation constraints (DKP-1-AXIOMS-001),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scope and conflict rules (DKP-7-SCOPE-001).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In case of conflict with other L5 protocols: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 Cultural Exception MAY be declared,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such exception SHALL be: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temporary,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explicitly scoped,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non-enforceable,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logged for post-resolution audit.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Conflict resolution SHALL be governed by DKP-7-SCOPE-001.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Cultural or linguistic context SHALL NOT be used to: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exempt factual claims from verification under DKP-5-INFO-001,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block PTL-based safety or harm signals.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10. Audit and Transparency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Any algorithmic process interacting with cultural or linguistic content: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MUST be auditable for structural neutrality,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MUST expose bias-detection hooks,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MUST be reviewable post-facto.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Audits SHALL assess: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neutrality of structure and access,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absence of dominance amplification,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and SHALL NOT assess: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content value,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cultural merit,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ideological alignment.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11. Activation and Calibration Constraint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DKP-5-CULTURE-001 SHALL NOT introduce enforceable thresholds, rankings, or restrictions.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Any mechanism interacting with other protocols that may affect access or visibility: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MUST be simulated under DKP-8-SIMULATION-001,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MUST declare scope, duration, and reversibility,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MUST NOT create permanent cultural advantage or exclusion.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Absent valid L8 calibration, cultural interactions are informational and non-binding only.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12. Finality Clause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this protocol is immutable,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explicit compatibility declaration with DKP-7-SCOPE-001 is mandatory,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re-simulation of affected interfaces MAY be required.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