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DKP-5-HABITAT-001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Living Space &amp; Environmental Dignity Protocol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Version: 1.1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Status: Architecture Lock Candidate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Layer: L5 — Habitat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Anchored to: Genesis Block #0 (2025-12-10)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0. Preamble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DKP-5-HABITAT-001 defines the minimum physical standards of living space and environmental conditions under which Subjects exist within Dikenocracy.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This protocol treats habitat not as comfort, preference, or aesthetics, but as a matter of physical dignity.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Where DKP-5-TRANSPORT-001 protects dignity in motion, DKP-5-HABITAT-001 protects dignity in statics — the spatial and environmental conditions of everyday life.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This protocol exists to prevent: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physical degradation of living environments,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ghettoization through density and isolation,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biophysical stress as an invisible form of coercion,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erosion of human agency through hostile spatial design.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1. Purpose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The purpose of DKP-5-HABITAT-001 is to: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define a non-negotiable baseline of spatial dignity,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limit destructive population density and enclosure,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guarantee access to basic biospheric resources,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prevent long-term environmental harm to Subjects,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anchor habitat evaluation strictly in the Physical Truth Layer (PTL).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This protocol does not optimize urban form.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It establishes hard lower bounds below which habitat conditions are unacceptable.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2. System Position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DKP-5-HABITAT-001 operates: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Downstream of: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DKP-0-ORACLE-001 (Physical Truth Layer),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DKP-0-TIME-001,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DKP-1-AXIOMS-001,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DKP-2-FINANCE-001 (funding pathways only).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Upstream of: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DKP-5-INFO-001,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DKP-5-EDU-001,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DKP-5-CULTURE-001.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Constrained by: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DKP-7-SCOPE-001,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DKP-8-SIMULATION-001.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define architectural styles,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impose cultural or aesthetic norms,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override local climatic or cultural adaptations,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activate enforcement without valid L8 calibration.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3. Definitions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Habitat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The physical environment in which a Subject resides for a sustained duration, including living space, immediate surroundings, and access paths to essential resources.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Living Space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An enclosed or semi-enclosed area intended for rest, shelter, and daily life.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Environmental Dignity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A state in which physical conditions do not impose chronic physiological stress beyond adaptive human capacity.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SPDI (Spatial Physical Dignity Index)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A composite, PTL-anchored physical index describing the adequacy of habitat conditions.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4. SPDI — Spatial Physical Dignity Index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SPDI is a normalized index in the range [0,1].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SPDI is derived exclusively from PTL-verified physical measurements, including but not limited to: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effective living space per Subject,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chronic ambient noise exposure,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access to natural light or circadian-supporting illumination,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air quality and ventilation adequacy,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thermal stability within survivable bounds,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access to clean water,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access to green or open space within a defined radius.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SPDI SHALL NOT incorporate: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subjective preference,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market value,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social or economic status indicators,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cultural or aesthetic metrics.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SPDI is a descriptive index, not a policy judgment.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5. Minimum Habitat Thresholds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A habitat is considered admissible only if all of the following hold: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SPDI ≥ SPDI_min,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no individual SPDI component falls below its critical survivability threshold,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chronic exposure parameters remain within PTL-confirmed safe limits.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Threshold Governance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SPDI_min and all component thresholds: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SHALL NOT be defined numerically within this protocol,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SHALL be specified, calibrated, and validated exclusively under DKP-8-SIMULATION-001,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SHALL be derived from biophysical research and PTL-confirmed survivability bounds,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SHALL NOT be lowered, overridden, or parameterized by economic, operational, or governance protocols.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6. Activation Gate (Mandatory)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DKP-5-HABITAT-001 is NON-ENFORCEABLE unless all of the following exist: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a valid L8 Calibration Bundle explicitly covering SPDI,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declared thresholds and confidence bounds,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 defined validity window,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an active linkage to DKP-8-AUDIT-001.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Absent a valid L8 bundle: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SPDI outputs are informational only,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no enforcement, restriction, or remediation may be triggered.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Manual interpretation of SPDI values is explicitly prohibited.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7. Density and Enclosure Constraints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Habitat design and allocation SHALL NOT: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exceed population density levels known to induce chronic biophysical stress,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create permanent enclosure without access to open environments,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rely on vertical compression as the primary solution to scarcity,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isolate populations from biospheric interaction.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Density and enclosure are evaluated indirectly via SPDI components, not via fixed architectural prescriptions.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8. Prohibited Conditions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The following constitute habitat violations: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persistent SPDI below minimum threshold,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deliberate creation of high-density containment zones,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denial of access to basic biospheric resources,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environmental degradation used as an economic or political lever,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spatial configurations designed to suppress autonomy or mobility.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Such conditions trigger mandatory remediation pathways.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9. PTL Anchoring and Verification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All SPDI measurements: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MUST be PTL-anchored,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MUST rely on physically verifiable data,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MUST be auditable and reproducible,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SHALL NOT depend on self-reporting alone.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Sensor tampering, suppression, or manipulation constitutes a critical integrity violation.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Detection, classification, and enforcement of sensor integrity violations are governed exclusively by: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DKP-0-ORACLE-001,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DKP-8-AUDIT-001.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DKP-5-HABITAT-001 SHALL NOT define independent investigative or punitive mechanisms.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— 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10. Remediation and Compliance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When admissibility violations are confirmed: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remediation plans MUST be initiated,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relocation assistance MAY be provided,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economic incentives MAY be triggered via L2 protocols,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forced displacement SHALL NOT be used as a default remedy.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Persistent or systemic violations escalate to system-level review under DKP-7-SCOPE-001.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— 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11. Scope Limitations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DKP-5-HABITAT-001 SHALL NOT: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rank habitats beyond minimum compliance,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enforce uniform living standards globally,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mandate specific housing forms,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override cultural or climatic adaptations.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This protocol enforces dignity floors, not optimization ceilings.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— 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12. Transparency and Audit Hooks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SPDI values and violation flags: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MUST be available for audit,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MAY be aggregated to protect individual privacy,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SHALL be reviewable post-facto.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Individual-level exposure data SHALL be protected under DKP-7-SCOPE-001.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— 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13. Finality Clause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explicit compatibility declaration with DKP-5-TRANSPORT-001 and DKP-7-SCOPE-001.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