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6C72C0DB" w:rsidR="00827153" w:rsidRPr="00681EB3" w:rsidRDefault="00827153">
      <w:proofErr w:type="spellStart"/>
      <w:r>
        <w:t>Arfa</w:t>
      </w:r>
      <w:proofErr w:type="spellEnd"/>
      <w:r>
        <w:t xml:space="preserve"> N. </w:t>
      </w:r>
      <w:proofErr w:type="spellStart"/>
      <w:proofErr w:type="gramStart"/>
      <w:r>
        <w:t>Aijazi</w:t>
      </w:r>
      <w:r w:rsidRPr="00827153">
        <w:rPr>
          <w:vertAlign w:val="superscript"/>
        </w:rPr>
        <w:t>a</w:t>
      </w:r>
      <w:proofErr w:type="spellEnd"/>
      <w:r>
        <w:rPr>
          <w:vertAlign w:val="superscript"/>
        </w:rPr>
        <w:t>,*</w:t>
      </w:r>
      <w:proofErr w:type="gramEnd"/>
      <w:r>
        <w:t xml:space="preserve">, Stefano </w:t>
      </w:r>
      <w:proofErr w:type="spellStart"/>
      <w:r>
        <w:t>Schiavon</w:t>
      </w:r>
      <w:r w:rsidRPr="00827153">
        <w:rPr>
          <w:vertAlign w:val="superscript"/>
        </w:rPr>
        <w:t>a</w:t>
      </w:r>
      <w:proofErr w:type="spellEnd"/>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895E6FD" w:rsidR="00783AE8" w:rsidRDefault="00783AE8" w:rsidP="00041697">
      <w:pPr>
        <w:ind w:left="720"/>
        <w:contextualSpacing/>
      </w:pPr>
      <w:r>
        <w:t xml:space="preserve">Email address: </w:t>
      </w:r>
      <w:hyperlink r:id="rId8" w:history="1">
        <w:r w:rsidR="00A640C8" w:rsidRPr="000C4AC4">
          <w:rPr>
            <w:rStyle w:val="Hyperlink"/>
          </w:rPr>
          <w:t>arfa@berkeley.edu</w:t>
        </w:r>
      </w:hyperlink>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6C4EF626" w:rsidR="00173E31" w:rsidRDefault="00173E31" w:rsidP="00827153">
      <w:r>
        <w:t>Target publication: Building and Environment</w:t>
      </w:r>
    </w:p>
    <w:p w14:paraId="3AD52924" w14:textId="4389E525" w:rsidR="002969F8" w:rsidRDefault="002969F8" w:rsidP="00041697">
      <w:pPr>
        <w:pStyle w:val="Heading1"/>
      </w:pPr>
      <w:r>
        <w:t>Highlights</w:t>
      </w:r>
    </w:p>
    <w:p w14:paraId="376328F3" w14:textId="1D4607C5" w:rsidR="00041697" w:rsidRDefault="002969F8" w:rsidP="00041697">
      <w:pPr>
        <w:pStyle w:val="Heading1"/>
      </w:pPr>
      <w:r>
        <w:t>Graphical Abstract</w:t>
      </w:r>
    </w:p>
    <w:p w14:paraId="2C27F801" w14:textId="26ABED45" w:rsidR="00827153" w:rsidRDefault="00827153" w:rsidP="00827153">
      <w:pPr>
        <w:pStyle w:val="Heading1"/>
      </w:pPr>
      <w:r>
        <w:t>Abstract</w:t>
      </w:r>
    </w:p>
    <w:p w14:paraId="77DF1D2E" w14:textId="65D50D1D" w:rsidR="006C34C5" w:rsidRDefault="00827153" w:rsidP="00E2340B">
      <w:pPr>
        <w:pStyle w:val="Heading1List"/>
      </w:pPr>
      <w:r w:rsidRPr="00E2340B">
        <w:t>Introduction</w:t>
      </w:r>
    </w:p>
    <w:p w14:paraId="2BA54730" w14:textId="49EE41FE" w:rsidR="00C42310" w:rsidRDefault="00C42310" w:rsidP="00C42310">
      <w:pPr>
        <w:pStyle w:val="Heading2List"/>
      </w:pPr>
      <w:bookmarkStart w:id="0" w:name="_Ref151832870"/>
      <w:r>
        <w:t>Background</w:t>
      </w:r>
      <w:bookmarkEnd w:id="0"/>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(Berko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(Berko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27EF367C"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w:t>
      </w:r>
      <w:r>
        <w:lastRenderedPageBreak/>
        <w:t xml:space="preserve">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(King, Rhodes, and Zarnikau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morbidity and mortality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(Oudin Åström, Bertil, and Joacim 2011)</w:t>
      </w:r>
      <w:r>
        <w:fldChar w:fldCharType="end"/>
      </w:r>
      <w:r>
        <w:t>, so an older population has greater vulnerability.</w:t>
      </w:r>
    </w:p>
    <w:p w14:paraId="7B1843B0" w14:textId="5C456B5E" w:rsidR="00C42310" w:rsidRDefault="00472389" w:rsidP="00C42310">
      <w:pPr>
        <w:pStyle w:val="Heading2List"/>
      </w:pPr>
      <w:bookmarkStart w:id="1" w:name="_Ref150108267"/>
      <w:r>
        <w:t>Municipal planning for extreme temperatures</w:t>
      </w:r>
      <w:bookmarkEnd w:id="1"/>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(Reid et al. 2009; Rinner et al. 2010; Uejio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(Rinner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(Uejio et al. 2011)</w:t>
      </w:r>
      <w:r>
        <w:fldChar w:fldCharType="end"/>
      </w:r>
      <w:r>
        <w:t xml:space="preserve"> all considered older homes to have a higher risk for heat exposure due to a presumption of lack of insulation, lower likelihood of AC, and correlation with other risk 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(Beizaee, Lomas, and Firth 2013; Maivel, Kurnitski, and Kalamees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(Booten et al. 2017)</w:t>
      </w:r>
      <w:r w:rsidRPr="00EA54D4">
        <w:fldChar w:fldCharType="end"/>
      </w:r>
      <w:r>
        <w:t>.</w:t>
      </w:r>
      <w:r w:rsidR="006B5092">
        <w:t xml:space="preserve"> A simulation-based comparison of housing archetypes in Boston found </w:t>
      </w:r>
      <w:r w:rsidR="006B5092">
        <w:lastRenderedPageBreak/>
        <w:t xml:space="preserve">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(Ecobee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1E58285F" w:rsidR="002A7CA9" w:rsidRDefault="002A7CA9" w:rsidP="002A7CA9">
      <w:r>
        <w:t xml:space="preserve">Several research gaps relate to the role of building characteristics on temperature-related morbidity and mortality. </w:t>
      </w:r>
    </w:p>
    <w:p w14:paraId="1B25D0DA" w14:textId="7C459C08" w:rsidR="000A4CF2" w:rsidRDefault="00652E43" w:rsidP="002A7CA9">
      <w:r>
        <w:t xml:space="preserve">First, is the lack of empirical evidence to link building characteristics to temperature-related morbidity and mortality.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(Samuelson, Baniassadi, and Gonzalez 2020; Mavrogianni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(Sun, Specian,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(Baniassadi,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(Kuras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(Baniassadi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50EA3944" w14:textId="25BFF49F" w:rsidR="001A6B21" w:rsidRDefault="00B73127" w:rsidP="00D36EE5">
      <w:pPr>
        <w:tabs>
          <w:tab w:val="left" w:pos="3887"/>
        </w:tabs>
      </w:pPr>
      <w:r>
        <w:lastRenderedPageBreak/>
        <w:t>To overcome these research gaps, th</w:t>
      </w:r>
      <w:r w:rsidR="007C7162">
        <w:t>is</w:t>
      </w:r>
      <w:r>
        <w:t xml:space="preserve"> study </w:t>
      </w:r>
      <w:r w:rsidR="00472389">
        <w:t>uses supervised machine learning to predict</w:t>
      </w:r>
      <w:r w:rsidR="009D3D2C">
        <w:t xml:space="preserve"> temperature-related morbidity based on a </w:t>
      </w:r>
      <w:r w:rsidR="001A6B21">
        <w:t>nationwide</w:t>
      </w:r>
      <w:r w:rsidR="009D3D2C">
        <w:t xml:space="preserv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1A6B21">
        <w:t>This study revolves around two research questions</w:t>
      </w:r>
      <w:r w:rsidR="002023F5">
        <w:t>:</w:t>
      </w:r>
    </w:p>
    <w:p w14:paraId="086FF6D9" w14:textId="1EB58E29" w:rsidR="001A6B21" w:rsidRDefault="001A6B21" w:rsidP="001A6B21">
      <w:pPr>
        <w:pStyle w:val="ListParagraph"/>
        <w:numPr>
          <w:ilvl w:val="0"/>
          <w:numId w:val="31"/>
        </w:numPr>
        <w:tabs>
          <w:tab w:val="left" w:pos="3887"/>
        </w:tabs>
      </w:pPr>
      <w:r>
        <w:t>Would a HVI with detailed information about the building be more accurate at predicting the risk of health hazards? If so, by how much?</w:t>
      </w:r>
    </w:p>
    <w:p w14:paraId="5594021D" w14:textId="70514DAF" w:rsidR="001A6B21" w:rsidRDefault="001A6B21" w:rsidP="001A6B21">
      <w:pPr>
        <w:pStyle w:val="ListParagraph"/>
        <w:numPr>
          <w:ilvl w:val="0"/>
          <w:numId w:val="31"/>
        </w:numPr>
        <w:tabs>
          <w:tab w:val="left" w:pos="3887"/>
        </w:tabs>
      </w:pPr>
      <w:r>
        <w:t xml:space="preserve">Which building and occupant characteristics </w:t>
      </w:r>
      <w:r w:rsidR="00781A6D">
        <w:t>contribute most to predicting the risk of a health hazards?</w:t>
      </w:r>
    </w:p>
    <w:p w14:paraId="3B69D18C" w14:textId="17B5EAF0" w:rsidR="002A7CA9" w:rsidRDefault="00BD40EB" w:rsidP="00D36EE5">
      <w:pPr>
        <w:tabs>
          <w:tab w:val="left" w:pos="3887"/>
        </w:tabs>
      </w:pPr>
      <w:r>
        <w:t xml:space="preserve">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r w:rsidR="00781A6D">
        <w:t xml:space="preserve">Understanding the contributions of building and occupant characteristics can prioritize data collection efforts.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4CC73B11" w:rsidR="009622F0" w:rsidRDefault="00D56D97" w:rsidP="008D0432">
      <w:r>
        <w:t>Th</w:t>
      </w:r>
      <w:r w:rsidR="001A6B21">
        <w:t>e main</w:t>
      </w:r>
      <w:r>
        <w:t xml:space="preserve"> source of data </w:t>
      </w:r>
      <w:r w:rsidR="00781A6D">
        <w:t>for</w:t>
      </w:r>
      <w:r>
        <w:t xml:space="preserve"> this study</w:t>
      </w:r>
      <w:r w:rsidR="008D0432">
        <w:t xml:space="preserve"> </w:t>
      </w:r>
      <w:r w:rsidR="00C87584">
        <w:t>is</w:t>
      </w:r>
      <w:r w:rsidR="00781A6D">
        <w:t xml:space="preserve"> the</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74BD2687" w:rsidR="00C87584" w:rsidRDefault="00C87584" w:rsidP="008D0432">
      <w:r>
        <w:t xml:space="preserve">Of relevance for this study, the </w:t>
      </w:r>
      <w:r w:rsidR="00367B3D">
        <w:t xml:space="preserve">three </w:t>
      </w:r>
      <w:r>
        <w:t xml:space="preserve">most recent cycles of RECS, </w:t>
      </w:r>
      <w:r w:rsidR="00367B3D">
        <w:t xml:space="preserve">2009, </w:t>
      </w:r>
      <w:r>
        <w:t>2015</w:t>
      </w:r>
      <w:r w:rsidR="00367B3D">
        <w:t xml:space="preserve">, </w:t>
      </w:r>
      <w:r>
        <w:t>2020</w:t>
      </w:r>
      <w:r w:rsidR="00367B3D">
        <w:t>,</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This study treats an affirmative response to either question as a temperature-related morbidity. While the questions are vague regarding duration and severity of extreme temperatures and who in the household needed medical assistance, it provides a source of empirical evidence that the household experienced a</w:t>
      </w:r>
      <w:r w:rsidR="00646947">
        <w:t xml:space="preserve"> </w:t>
      </w:r>
      <w:r>
        <w:t xml:space="preserve">hazardous interior </w:t>
      </w:r>
      <w:r w:rsidR="00646947">
        <w:t xml:space="preserve">thermal </w:t>
      </w:r>
      <w:r>
        <w:t xml:space="preserve">environment. </w:t>
      </w:r>
      <w:r w:rsidR="00EE26FC">
        <w:t>We only analyzed data from the 2015 and 2020 RECS. Responses to our questions of interest are not available in the public data file for the 2009 RECS due to infrequent responses risking disclosure of sensitive and confidential household information.</w:t>
      </w:r>
      <w:r w:rsidR="00EE26FC">
        <w:rPr>
          <w:rStyle w:val="FootnoteReference"/>
        </w:rPr>
        <w:footnoteReference w:id="2"/>
      </w:r>
    </w:p>
    <w:p w14:paraId="0ECFB250" w14:textId="48B9CEF7" w:rsidR="009622F0" w:rsidRDefault="009622F0" w:rsidP="008D0432">
      <w:r>
        <w:t xml:space="preserve">Each RECS is an independent cross-sectional study of residential energy use, so each iteration of the survey is slightly different. </w:t>
      </w:r>
      <w:r w:rsidR="00367B3D">
        <w:t>Theoretically, it’s possible to select the same home twice, but it is highly unlikely and occurs rarely</w:t>
      </w:r>
      <w:r w:rsidR="00EE26FC">
        <w:t>.</w:t>
      </w:r>
      <w:r w:rsidR="00367B3D">
        <w:rPr>
          <w:rStyle w:val="FootnoteReference"/>
        </w:rPr>
        <w:footnoteReference w:id="3"/>
      </w:r>
      <w:r w:rsidR="00367B3D">
        <w:t xml:space="preserve">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 xml:space="preserve">The 2015 survey cycle collected data through a combination of computer-assisted personal interviews (CAPI), internet, and mailings.  The 2020 survey cycle relied entirely on self-administered web and paper questionaries. </w:t>
      </w:r>
      <w:r w:rsidR="0082049E">
        <w:t>Because there were no in-person interviews, the 2020 survey did not rely on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w:t>
      </w:r>
      <w:r w:rsidR="00646947">
        <w:t xml:space="preserve"> The </w:t>
      </w:r>
      <w:r w:rsidR="00646947">
        <w:lastRenderedPageBreak/>
        <w:t xml:space="preserve">two survey years also had minor differences in variable coding, which we describe in more detail in Appendix X. </w:t>
      </w:r>
    </w:p>
    <w:p w14:paraId="323DC616" w14:textId="74C11F59" w:rsidR="0082049E" w:rsidRDefault="00EE070C" w:rsidP="008D0432">
      <w:r>
        <w:fldChar w:fldCharType="begin"/>
      </w:r>
      <w:r>
        <w:instrText xml:space="preserve"> REF _Ref80686156 \h </w:instrText>
      </w:r>
      <w:r>
        <w:fldChar w:fldCharType="separate"/>
      </w:r>
      <w:r>
        <w:t xml:space="preserve">Table </w:t>
      </w:r>
      <w:r>
        <w:rPr>
          <w:noProof/>
        </w:rPr>
        <w:t>1</w:t>
      </w:r>
      <w:r>
        <w:fldChar w:fldCharType="end"/>
      </w:r>
      <w:r>
        <w:t xml:space="preserve"> shows counts of heat-, cold-, or any temperature-related morbidity in the 2015 and 2020 RECS. </w:t>
      </w:r>
      <w:r w:rsidR="00646947">
        <w:t>For the predictive model, w</w:t>
      </w:r>
      <w:r w:rsidR="0082049E">
        <w:t>e treat each sample as an independent observation</w:t>
      </w:r>
      <w:r w:rsidR="00646947">
        <w:t xml:space="preserve">. </w:t>
      </w:r>
      <w:r w:rsidR="003118E4">
        <w:t xml:space="preserve">However, for population estimate, we reviewed the results of ear year separately due to differences in sampling methods. </w:t>
      </w:r>
      <w:r w:rsidR="003118E4">
        <w:t xml:space="preserve">For each year, RECS calculates the sample weight, which indicates the number of households in the population that observation represents. The survey data also includes replicate weights, which can be used to calculate the sampling error. RECS provides a detailed procedure for calculating population estimates, standard errors, and confidence intervals in R </w:t>
      </w:r>
      <w:r w:rsidR="003118E4">
        <w:fldChar w:fldCharType="begin"/>
      </w:r>
      <w:r w:rsidR="003118E4">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fldChar w:fldCharType="separate"/>
      </w:r>
      <w:r w:rsidR="003118E4">
        <w:rPr>
          <w:noProof/>
        </w:rPr>
        <w:t>(EIA 2019; 2023)</w:t>
      </w:r>
      <w:r w:rsidR="003118E4">
        <w:fldChar w:fldCharType="end"/>
      </w:r>
      <w:r w:rsidR="003118E4">
        <w:t xml:space="preserve">. </w:t>
      </w:r>
    </w:p>
    <w:p w14:paraId="190C21ED" w14:textId="01F0EE47" w:rsidR="008D0432" w:rsidRDefault="008D0432" w:rsidP="008D0432">
      <w:pPr>
        <w:pStyle w:val="Tablecaption"/>
      </w:pPr>
      <w:bookmarkStart w:id="2" w:name="_Ref80686156"/>
      <w:r>
        <w:t xml:space="preserve">Table </w:t>
      </w:r>
      <w:r w:rsidR="001372E4">
        <w:fldChar w:fldCharType="begin"/>
      </w:r>
      <w:r w:rsidR="001372E4">
        <w:instrText xml:space="preserve"> SEQ Table \* ARABIC </w:instrText>
      </w:r>
      <w:r w:rsidR="001372E4">
        <w:fldChar w:fldCharType="separate"/>
      </w:r>
      <w:r w:rsidR="00C41E03">
        <w:rPr>
          <w:noProof/>
        </w:rPr>
        <w:t>1</w:t>
      </w:r>
      <w:r w:rsidR="001372E4">
        <w:rPr>
          <w:noProof/>
        </w:rPr>
        <w:fldChar w:fldCharType="end"/>
      </w:r>
      <w:bookmarkEnd w:id="2"/>
      <w:r>
        <w:t xml:space="preserve">. </w:t>
      </w:r>
      <w:r w:rsidR="002023F5">
        <w:t xml:space="preserve">Observations of temperature-related morbidity in </w:t>
      </w:r>
      <w:r w:rsidR="002F5D85">
        <w:t>RECS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652"/>
        <w:gridCol w:w="752"/>
        <w:gridCol w:w="752"/>
      </w:tblGrid>
      <w:tr w:rsidR="002F5D85"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5E9C4E4" w:rsidR="002F5D85" w:rsidRPr="00EE6FB0" w:rsidRDefault="00EE070C" w:rsidP="00405503">
            <w:pPr>
              <w:pStyle w:val="Tabletext"/>
              <w:rPr>
                <w:b/>
                <w:bCs/>
              </w:rPr>
            </w:pPr>
            <w:r>
              <w:rPr>
                <w:b/>
                <w:bCs/>
              </w:rPr>
              <w:t>Morbidity</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EE6FB0" w:rsidRDefault="002F5D85" w:rsidP="002023F5">
            <w:pPr>
              <w:pStyle w:val="Tabletext"/>
              <w:jc w:val="right"/>
              <w:rPr>
                <w:b/>
                <w:bCs/>
              </w:rPr>
            </w:pPr>
            <w:r>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Default="002F5D85" w:rsidP="002023F5">
            <w:pPr>
              <w:pStyle w:val="Tabletext"/>
              <w:jc w:val="right"/>
              <w:rPr>
                <w:b/>
                <w:bCs/>
              </w:rPr>
            </w:pPr>
            <w:r>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Default="002F5D85" w:rsidP="002023F5">
            <w:pPr>
              <w:pStyle w:val="Tabletext"/>
              <w:jc w:val="right"/>
              <w:rPr>
                <w:b/>
                <w:bCs/>
              </w:rPr>
            </w:pPr>
            <w:r>
              <w:rPr>
                <w:b/>
                <w:bCs/>
              </w:rPr>
              <w:t>Total</w:t>
            </w:r>
          </w:p>
        </w:tc>
      </w:tr>
      <w:tr w:rsidR="002F5D85" w14:paraId="7299E047" w14:textId="37751A97" w:rsidTr="001372E4">
        <w:tc>
          <w:tcPr>
            <w:tcW w:w="0" w:type="auto"/>
            <w:tcBorders>
              <w:top w:val="single" w:sz="4" w:space="0" w:color="DBDBDB" w:themeColor="accent3" w:themeTint="66"/>
            </w:tcBorders>
          </w:tcPr>
          <w:p w14:paraId="04A9A1FA" w14:textId="1C9DD21E" w:rsidR="002F5D85" w:rsidRDefault="002F5D85" w:rsidP="00405503">
            <w:pPr>
              <w:pStyle w:val="Tabletext"/>
            </w:pPr>
            <w:r>
              <w:t xml:space="preserve">Heat-related </w:t>
            </w:r>
          </w:p>
        </w:tc>
        <w:tc>
          <w:tcPr>
            <w:tcW w:w="0" w:type="auto"/>
            <w:tcBorders>
              <w:top w:val="single" w:sz="4" w:space="0" w:color="DBDBDB" w:themeColor="accent3" w:themeTint="66"/>
            </w:tcBorders>
          </w:tcPr>
          <w:p w14:paraId="7AB7A74B" w14:textId="6CC182C1" w:rsidR="002F5D85" w:rsidRDefault="002F5D85" w:rsidP="002023F5">
            <w:pPr>
              <w:pStyle w:val="Tabletext"/>
              <w:jc w:val="right"/>
            </w:pPr>
            <w:r>
              <w:t>39</w:t>
            </w:r>
          </w:p>
        </w:tc>
        <w:tc>
          <w:tcPr>
            <w:tcW w:w="0" w:type="auto"/>
            <w:tcBorders>
              <w:top w:val="single" w:sz="4" w:space="0" w:color="DBDBDB" w:themeColor="accent3" w:themeTint="66"/>
            </w:tcBorders>
          </w:tcPr>
          <w:p w14:paraId="68CA49FB" w14:textId="02F11F8A" w:rsidR="002F5D85" w:rsidRDefault="002F5D85" w:rsidP="002023F5">
            <w:pPr>
              <w:pStyle w:val="Tabletext"/>
              <w:jc w:val="right"/>
            </w:pPr>
            <w:r>
              <w:t>76</w:t>
            </w:r>
          </w:p>
        </w:tc>
        <w:tc>
          <w:tcPr>
            <w:tcW w:w="0" w:type="auto"/>
            <w:tcBorders>
              <w:top w:val="single" w:sz="4" w:space="0" w:color="DBDBDB" w:themeColor="accent3" w:themeTint="66"/>
            </w:tcBorders>
          </w:tcPr>
          <w:p w14:paraId="2289E31B" w14:textId="54C14C56" w:rsidR="002F5D85" w:rsidRDefault="002F5D85" w:rsidP="002023F5">
            <w:pPr>
              <w:pStyle w:val="Tabletext"/>
              <w:jc w:val="right"/>
            </w:pPr>
            <w:r>
              <w:t>115</w:t>
            </w:r>
          </w:p>
        </w:tc>
      </w:tr>
      <w:tr w:rsidR="002F5D85" w14:paraId="40A32B66" w14:textId="1EDA4AE4" w:rsidTr="001372E4">
        <w:tc>
          <w:tcPr>
            <w:tcW w:w="0" w:type="auto"/>
          </w:tcPr>
          <w:p w14:paraId="143E03B3" w14:textId="6D9295EC" w:rsidR="002F5D85" w:rsidRDefault="002F5D85" w:rsidP="00405503">
            <w:pPr>
              <w:pStyle w:val="Tabletext"/>
            </w:pPr>
            <w:r>
              <w:t xml:space="preserve">Cold-related </w:t>
            </w:r>
          </w:p>
        </w:tc>
        <w:tc>
          <w:tcPr>
            <w:tcW w:w="0" w:type="auto"/>
          </w:tcPr>
          <w:p w14:paraId="2A209FE7" w14:textId="4350DA58" w:rsidR="002F5D85" w:rsidRDefault="002F5D85" w:rsidP="002023F5">
            <w:pPr>
              <w:pStyle w:val="Tabletext"/>
              <w:jc w:val="right"/>
            </w:pPr>
            <w:r>
              <w:t>54</w:t>
            </w:r>
          </w:p>
        </w:tc>
        <w:tc>
          <w:tcPr>
            <w:tcW w:w="0" w:type="auto"/>
          </w:tcPr>
          <w:p w14:paraId="1151F202" w14:textId="66A3BBC7" w:rsidR="002F5D85" w:rsidRDefault="002F5D85" w:rsidP="002023F5">
            <w:pPr>
              <w:pStyle w:val="Tabletext"/>
              <w:jc w:val="right"/>
            </w:pPr>
            <w:r>
              <w:t>120</w:t>
            </w:r>
          </w:p>
        </w:tc>
        <w:tc>
          <w:tcPr>
            <w:tcW w:w="0" w:type="auto"/>
          </w:tcPr>
          <w:p w14:paraId="3777DCA1" w14:textId="391B0655" w:rsidR="002F5D85" w:rsidRDefault="002F5D85" w:rsidP="002023F5">
            <w:pPr>
              <w:pStyle w:val="Tabletext"/>
              <w:jc w:val="right"/>
            </w:pPr>
            <w:r>
              <w:t>174</w:t>
            </w:r>
          </w:p>
        </w:tc>
      </w:tr>
      <w:tr w:rsidR="002F5D85" w14:paraId="010EB7D4" w14:textId="0C57D120" w:rsidTr="001372E4">
        <w:tc>
          <w:tcPr>
            <w:tcW w:w="0" w:type="auto"/>
          </w:tcPr>
          <w:p w14:paraId="4EC4B0A9" w14:textId="2B8E7473" w:rsidR="002F5D85" w:rsidRDefault="002F5D85" w:rsidP="00405503">
            <w:pPr>
              <w:pStyle w:val="Tabletext"/>
            </w:pPr>
            <w:r>
              <w:t>Any temperature</w:t>
            </w:r>
          </w:p>
        </w:tc>
        <w:tc>
          <w:tcPr>
            <w:tcW w:w="0" w:type="auto"/>
          </w:tcPr>
          <w:p w14:paraId="6ABA1D9B" w14:textId="77777777" w:rsidR="002F5D85" w:rsidRDefault="002F5D85" w:rsidP="002023F5">
            <w:pPr>
              <w:pStyle w:val="Tabletext"/>
              <w:jc w:val="right"/>
            </w:pPr>
            <w:r>
              <w:t>81</w:t>
            </w:r>
          </w:p>
        </w:tc>
        <w:tc>
          <w:tcPr>
            <w:tcW w:w="0" w:type="auto"/>
          </w:tcPr>
          <w:p w14:paraId="04C013B4" w14:textId="54E73DDE" w:rsidR="002F5D85" w:rsidRDefault="002F5D85" w:rsidP="002023F5">
            <w:pPr>
              <w:pStyle w:val="Tabletext"/>
              <w:jc w:val="right"/>
            </w:pPr>
            <w:r>
              <w:t>171</w:t>
            </w:r>
          </w:p>
        </w:tc>
        <w:tc>
          <w:tcPr>
            <w:tcW w:w="0" w:type="auto"/>
          </w:tcPr>
          <w:p w14:paraId="1FFE7ACA" w14:textId="0751DF25" w:rsidR="002F5D85" w:rsidRDefault="002F5D85" w:rsidP="002023F5">
            <w:pPr>
              <w:pStyle w:val="Tabletext"/>
              <w:jc w:val="right"/>
            </w:pPr>
            <w:r>
              <w:t>252</w:t>
            </w:r>
          </w:p>
        </w:tc>
      </w:tr>
      <w:tr w:rsidR="002F5D85" w14:paraId="2AAD9108" w14:textId="00B959C6" w:rsidTr="001372E4">
        <w:tc>
          <w:tcPr>
            <w:tcW w:w="0" w:type="auto"/>
          </w:tcPr>
          <w:p w14:paraId="2CAEDE70" w14:textId="77777777" w:rsidR="002F5D85" w:rsidRDefault="002F5D85" w:rsidP="00405503">
            <w:pPr>
              <w:pStyle w:val="Tabletext"/>
            </w:pPr>
            <w:r>
              <w:t>None</w:t>
            </w:r>
          </w:p>
        </w:tc>
        <w:tc>
          <w:tcPr>
            <w:tcW w:w="0" w:type="auto"/>
          </w:tcPr>
          <w:p w14:paraId="4B983EC9" w14:textId="400C4480" w:rsidR="002F5D85" w:rsidRDefault="002F5D85" w:rsidP="002023F5">
            <w:pPr>
              <w:pStyle w:val="Tabletext"/>
              <w:spacing w:after="160"/>
              <w:jc w:val="right"/>
            </w:pPr>
            <w:r>
              <w:t>5,605</w:t>
            </w:r>
          </w:p>
        </w:tc>
        <w:tc>
          <w:tcPr>
            <w:tcW w:w="0" w:type="auto"/>
          </w:tcPr>
          <w:p w14:paraId="11C1BFA7" w14:textId="76A8AD46" w:rsidR="002F5D85" w:rsidRDefault="002F5D85" w:rsidP="002023F5">
            <w:pPr>
              <w:pStyle w:val="Tabletext"/>
              <w:spacing w:after="160"/>
              <w:jc w:val="right"/>
            </w:pPr>
            <w:r>
              <w:t>18,496</w:t>
            </w:r>
          </w:p>
        </w:tc>
        <w:tc>
          <w:tcPr>
            <w:tcW w:w="0" w:type="auto"/>
          </w:tcPr>
          <w:p w14:paraId="61B5B1DB" w14:textId="113F0EFC" w:rsidR="002F5D85" w:rsidRDefault="002F5D85" w:rsidP="002023F5">
            <w:pPr>
              <w:pStyle w:val="Tabletext"/>
              <w:spacing w:after="160"/>
              <w:jc w:val="right"/>
            </w:pPr>
            <w:r>
              <w:t>24,101</w:t>
            </w:r>
          </w:p>
        </w:tc>
      </w:tr>
    </w:tbl>
    <w:p w14:paraId="5FA1A031" w14:textId="21125450" w:rsidR="008D0432" w:rsidRDefault="008D0432" w:rsidP="008D0432">
      <w:r>
        <w:t xml:space="preserve">To explore patterns in households that experienced temperature-related morbidity </w:t>
      </w:r>
      <w:r w:rsidR="00637DFD">
        <w:t>we</w:t>
      </w:r>
      <w:r>
        <w:t xml:space="preserve"> </w:t>
      </w:r>
      <w:r w:rsidR="00FF282D">
        <w:t>narrowed</w:t>
      </w:r>
      <w:r>
        <w:t xml:space="preserve"> the over 750 household characteristics described in the RECS dataset to </w:t>
      </w:r>
      <w:r w:rsidR="006C61B1">
        <w:t xml:space="preserve">approximately </w:t>
      </w:r>
      <w:r w:rsidR="00D46F7C">
        <w:t>25</w:t>
      </w:r>
      <w:r w:rsidR="006C61B1">
        <w:t xml:space="preserve"> </w:t>
      </w:r>
      <w:r>
        <w:t>related to</w:t>
      </w:r>
      <w:r w:rsidR="00C87584">
        <w:t xml:space="preserve"> either vulnerability or exposure to extreme temperature</w:t>
      </w:r>
      <w:r>
        <w:t xml:space="preserve">. These variables </w:t>
      </w:r>
      <w:r w:rsidR="000927BB">
        <w:t>fall under</w:t>
      </w:r>
      <w:r>
        <w:t xml:space="preserve"> </w:t>
      </w:r>
      <w:r w:rsidR="00C87584">
        <w:t>5</w:t>
      </w:r>
      <w:r>
        <w:t xml:space="preserve"> categories: climate, demographic, building construction, building envelope, and building HVAC</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1372E4">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D46F7C">
        <w:t xml:space="preserve">. </w:t>
      </w:r>
    </w:p>
    <w:p w14:paraId="562F5CE7" w14:textId="469C98FB" w:rsidR="0056216C" w:rsidRDefault="0056216C" w:rsidP="008D0432">
      <w:r>
        <w:t>By default, the RECS dataset encodes all variables as numerical quantities. We retained the numerical values for truly numerical household characteristics like the construction age, categorical household characteristics describing ordinal data such as the level of insulation, or binary variables such as presence of back-up generator or on-site solar. We converted categorical variables into informed groups based on the literature on heat and cold-related vulnerability for example non-white versus individual racial categories</w:t>
      </w:r>
      <w:r>
        <w:t xml:space="preserve">. </w:t>
      </w:r>
      <w:r>
        <w:t>W</w:t>
      </w:r>
      <w:r>
        <w:t xml:space="preserve">e </w:t>
      </w:r>
      <w:r>
        <w:t xml:space="preserve">also derived new variables </w:t>
      </w:r>
      <w:r>
        <w:t xml:space="preserve">of interest such as poverty, which combines the number of household members with income level and thermal mass, which combines insulation level and exterior wall or roof material. </w:t>
      </w:r>
    </w:p>
    <w:p w14:paraId="30F64462" w14:textId="096F5F26" w:rsidR="009A532E" w:rsidRDefault="009A532E" w:rsidP="009A532E">
      <w:pPr>
        <w:pStyle w:val="Heading3List"/>
      </w:pPr>
      <w:r>
        <w:t>Climate</w:t>
      </w:r>
    </w:p>
    <w:p w14:paraId="568B7228" w14:textId="50B42CDB"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(Uejio et al. 2011)</w:t>
      </w:r>
      <w:r w:rsidR="008D0432">
        <w:fldChar w:fldCharType="end"/>
      </w:r>
      <w:r w:rsidR="008D0432">
        <w:t xml:space="preserve">, because it represents </w:t>
      </w:r>
      <w:r w:rsidR="00392DD7">
        <w:t xml:space="preserve">local </w:t>
      </w:r>
      <w:r w:rsidR="008D0432">
        <w:t xml:space="preserve">exposure to high temperatures. Due to the EIA’s objective to forecast energy demand, climatic variables in RECS are oriented towards HVAC system </w:t>
      </w:r>
      <w:r w:rsidR="000516FC">
        <w:t>operation</w:t>
      </w:r>
      <w:r w:rsidR="008D0432">
        <w:t>, such as cooling and heating design-temperature</w:t>
      </w:r>
      <w:r w:rsidR="00323243">
        <w:t xml:space="preserve">. </w:t>
      </w:r>
    </w:p>
    <w:p w14:paraId="62DE423B" w14:textId="4542BE69" w:rsidR="009A532E" w:rsidRDefault="009A532E" w:rsidP="009A532E">
      <w:pPr>
        <w:pStyle w:val="Heading3List"/>
      </w:pPr>
      <w:r>
        <w:t>Demographic</w:t>
      </w:r>
    </w:p>
    <w:p w14:paraId="36C70D4F" w14:textId="77777777" w:rsidR="0056216C" w:rsidRDefault="008D0432" w:rsidP="0056216C">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(Applegate et al. 1981; O’Neill, Zanobetti, and Schwartz 2003; Ballester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 xml:space="preserve">(Naughton et al. </w:t>
      </w:r>
      <w:r w:rsidRPr="00C67407">
        <w:lastRenderedPageBreak/>
        <w:t>2002; Curriero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(Klinenberg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(Uejio et al. 2011)</w:t>
      </w:r>
      <w:r>
        <w:fldChar w:fldCharType="end"/>
      </w:r>
      <w:r>
        <w:t xml:space="preserve">. The impact of race and 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(O’Neill, Zanobetti, and Schwartz 2005; Schwartz 2005)</w:t>
      </w:r>
      <w:r>
        <w:fldChar w:fldCharType="end"/>
      </w:r>
      <w:r>
        <w:t xml:space="preserve">. </w:t>
      </w:r>
      <w:bookmarkStart w:id="3" w:name="_Ref77436719"/>
      <w:bookmarkStart w:id="4" w:name="_Ref151582921"/>
    </w:p>
    <w:p w14:paraId="3767D6B5" w14:textId="510CC1EE" w:rsidR="001076D9" w:rsidRDefault="001076D9" w:rsidP="001076D9">
      <w:pPr>
        <w:pStyle w:val="Figurecaption"/>
      </w:pPr>
      <w:r>
        <w:t xml:space="preserve">Table </w:t>
      </w:r>
      <w:r>
        <w:fldChar w:fldCharType="begin"/>
      </w:r>
      <w:r>
        <w:instrText xml:space="preserve"> SEQ Table \* ARABIC </w:instrText>
      </w:r>
      <w:r>
        <w:fldChar w:fldCharType="separate"/>
      </w:r>
      <w:r w:rsidR="00C41E03">
        <w:rPr>
          <w:noProof/>
        </w:rPr>
        <w:t>2</w:t>
      </w:r>
      <w:r>
        <w:rPr>
          <w:noProof/>
        </w:rPr>
        <w:fldChar w:fldCharType="end"/>
      </w:r>
      <w: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1579"/>
        <w:gridCol w:w="4684"/>
        <w:gridCol w:w="770"/>
        <w:gridCol w:w="924"/>
      </w:tblGrid>
      <w:tr w:rsidR="001076D9" w14:paraId="5F245EEB" w14:textId="77777777" w:rsidTr="00B9614A">
        <w:trPr>
          <w:tblHeader/>
        </w:trPr>
        <w:tc>
          <w:tcPr>
            <w:tcW w:w="0" w:type="auto"/>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1076D9" w:rsidRPr="008C1A4F" w:rsidRDefault="001076D9" w:rsidP="00B9614A">
            <w:pPr>
              <w:pStyle w:val="Tabletext"/>
              <w:rPr>
                <w:b/>
                <w:bCs/>
              </w:rPr>
            </w:pPr>
            <w:r w:rsidRPr="008C1A4F">
              <w:rPr>
                <w:b/>
                <w:bCs/>
              </w:rPr>
              <w:t>Category</w:t>
            </w:r>
          </w:p>
        </w:tc>
        <w:tc>
          <w:tcPr>
            <w:tcW w:w="0" w:type="auto"/>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1076D9" w:rsidRPr="008C1A4F" w:rsidRDefault="001076D9" w:rsidP="00B9614A">
            <w:pPr>
              <w:pStyle w:val="Tabletext"/>
              <w:rPr>
                <w:b/>
                <w:bCs/>
              </w:rPr>
            </w:pPr>
            <w:r>
              <w:rPr>
                <w:b/>
                <w:bCs/>
              </w:rPr>
              <w:t>Variable</w:t>
            </w:r>
          </w:p>
        </w:tc>
        <w:tc>
          <w:tcPr>
            <w:tcW w:w="0" w:type="auto"/>
            <w:tcBorders>
              <w:top w:val="single" w:sz="4" w:space="0" w:color="DBDBDB" w:themeColor="accent3" w:themeTint="66"/>
              <w:bottom w:val="single" w:sz="4" w:space="0" w:color="DBDBDB" w:themeColor="accent3" w:themeTint="66"/>
            </w:tcBorders>
            <w:vAlign w:val="center"/>
          </w:tcPr>
          <w:p w14:paraId="551819D5" w14:textId="77777777" w:rsidR="001076D9" w:rsidRDefault="001076D9" w:rsidP="00B9614A">
            <w:pPr>
              <w:pStyle w:val="Tabletext"/>
              <w:rPr>
                <w:b/>
                <w:bCs/>
              </w:rPr>
            </w:pPr>
            <w:r>
              <w:rPr>
                <w:b/>
                <w:bCs/>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1076D9" w:rsidRPr="00365353" w:rsidRDefault="001076D9" w:rsidP="00B9614A">
            <w:pPr>
              <w:pStyle w:val="Tabletext"/>
              <w:rPr>
                <w:b/>
                <w:bCs/>
                <w:vertAlign w:val="superscript"/>
              </w:rPr>
            </w:pPr>
            <w:r>
              <w:rPr>
                <w:b/>
                <w:bCs/>
              </w:rPr>
              <w:t xml:space="preserve">Type </w:t>
            </w:r>
            <w:r>
              <w:rPr>
                <w:b/>
                <w:bCs/>
                <w:vertAlign w:val="superscript"/>
              </w:rPr>
              <w:t>a</w:t>
            </w:r>
          </w:p>
        </w:tc>
        <w:tc>
          <w:tcPr>
            <w:tcW w:w="810" w:type="dxa"/>
            <w:tcBorders>
              <w:top w:val="single" w:sz="4" w:space="0" w:color="DBDBDB" w:themeColor="accent3" w:themeTint="66"/>
              <w:bottom w:val="single" w:sz="4" w:space="0" w:color="DBDBDB" w:themeColor="accent3" w:themeTint="66"/>
            </w:tcBorders>
            <w:vAlign w:val="center"/>
          </w:tcPr>
          <w:p w14:paraId="60C0CA79" w14:textId="77777777" w:rsidR="001076D9" w:rsidRDefault="001076D9" w:rsidP="00B9614A">
            <w:pPr>
              <w:pStyle w:val="Tabletext"/>
              <w:rPr>
                <w:b/>
                <w:bCs/>
              </w:rPr>
            </w:pPr>
            <w:r>
              <w:rPr>
                <w:b/>
                <w:bCs/>
              </w:rPr>
              <w:t>Baseline</w:t>
            </w:r>
          </w:p>
        </w:tc>
      </w:tr>
      <w:tr w:rsidR="001076D9" w14:paraId="03C9337D" w14:textId="77777777" w:rsidTr="00B9614A">
        <w:tc>
          <w:tcPr>
            <w:tcW w:w="0" w:type="auto"/>
            <w:vMerge w:val="restart"/>
          </w:tcPr>
          <w:p w14:paraId="115A4AD8" w14:textId="77777777" w:rsidR="001076D9" w:rsidRDefault="001076D9" w:rsidP="00B9614A">
            <w:pPr>
              <w:pStyle w:val="Tabletext"/>
            </w:pPr>
            <w:r>
              <w:t>Climate</w:t>
            </w:r>
          </w:p>
        </w:tc>
        <w:tc>
          <w:tcPr>
            <w:tcW w:w="0" w:type="auto"/>
          </w:tcPr>
          <w:p w14:paraId="4FF60268" w14:textId="77777777" w:rsidR="001076D9" w:rsidRPr="00841CA2" w:rsidRDefault="001076D9" w:rsidP="00B9614A">
            <w:pPr>
              <w:pStyle w:val="Tabletext"/>
            </w:pPr>
            <w:r>
              <w:t>Cooling design temperature</w:t>
            </w:r>
          </w:p>
        </w:tc>
        <w:tc>
          <w:tcPr>
            <w:tcW w:w="0" w:type="auto"/>
          </w:tcPr>
          <w:p w14:paraId="2BC723A1" w14:textId="77777777" w:rsidR="001076D9" w:rsidRDefault="001076D9" w:rsidP="00B9614A">
            <w:pPr>
              <w:pStyle w:val="Tabletext"/>
            </w:pPr>
            <w:r w:rsidRPr="008012A2">
              <w:t>Dry bulb design temperature</w:t>
            </w:r>
            <w:r>
              <w:t xml:space="preserve"> (F)</w:t>
            </w:r>
            <w:r w:rsidRPr="008012A2">
              <w:t xml:space="preserve"> expected to be exceeded 1% of the time</w:t>
            </w:r>
          </w:p>
        </w:tc>
        <w:tc>
          <w:tcPr>
            <w:tcW w:w="770" w:type="dxa"/>
          </w:tcPr>
          <w:p w14:paraId="11AE94C8" w14:textId="77777777" w:rsidR="001076D9" w:rsidRDefault="001076D9" w:rsidP="00B9614A">
            <w:pPr>
              <w:pStyle w:val="Tabletext"/>
              <w:jc w:val="center"/>
            </w:pPr>
            <w:r>
              <w:t>N</w:t>
            </w:r>
          </w:p>
        </w:tc>
        <w:tc>
          <w:tcPr>
            <w:tcW w:w="810" w:type="dxa"/>
          </w:tcPr>
          <w:p w14:paraId="718E8675" w14:textId="77777777" w:rsidR="001076D9" w:rsidRDefault="001076D9" w:rsidP="00B9614A">
            <w:pPr>
              <w:pStyle w:val="Tabletext"/>
              <w:jc w:val="center"/>
            </w:pPr>
            <w:r w:rsidRPr="00147319">
              <w:sym w:font="Wingdings" w:char="F0FC"/>
            </w:r>
          </w:p>
        </w:tc>
      </w:tr>
      <w:tr w:rsidR="001076D9" w14:paraId="02792949" w14:textId="77777777" w:rsidTr="00B9614A">
        <w:tc>
          <w:tcPr>
            <w:tcW w:w="0" w:type="auto"/>
            <w:vMerge/>
          </w:tcPr>
          <w:p w14:paraId="58C8F4FC" w14:textId="77777777" w:rsidR="001076D9" w:rsidRDefault="001076D9" w:rsidP="00B9614A">
            <w:pPr>
              <w:pStyle w:val="Tabletext"/>
            </w:pPr>
          </w:p>
        </w:tc>
        <w:tc>
          <w:tcPr>
            <w:tcW w:w="0" w:type="auto"/>
          </w:tcPr>
          <w:p w14:paraId="306B58B1" w14:textId="77777777" w:rsidR="001076D9" w:rsidRPr="008012A2" w:rsidRDefault="001076D9" w:rsidP="00B9614A">
            <w:pPr>
              <w:pStyle w:val="Tabletext"/>
            </w:pPr>
            <w:r>
              <w:t>Heating design temperature</w:t>
            </w:r>
          </w:p>
        </w:tc>
        <w:tc>
          <w:tcPr>
            <w:tcW w:w="0" w:type="auto"/>
          </w:tcPr>
          <w:p w14:paraId="21363C6B" w14:textId="77777777" w:rsidR="001076D9" w:rsidRDefault="001076D9" w:rsidP="00B9614A">
            <w:pPr>
              <w:pStyle w:val="Tabletext"/>
            </w:pPr>
            <w:r w:rsidRPr="0029071F">
              <w:t>Dry bulb design temperature</w:t>
            </w:r>
            <w:r>
              <w:t xml:space="preserve"> (F) </w:t>
            </w:r>
            <w:r w:rsidRPr="0029071F">
              <w:t>expected to be exceeded 99% of the time</w:t>
            </w:r>
          </w:p>
        </w:tc>
        <w:tc>
          <w:tcPr>
            <w:tcW w:w="770" w:type="dxa"/>
          </w:tcPr>
          <w:p w14:paraId="38B89E9A" w14:textId="77777777" w:rsidR="001076D9" w:rsidRDefault="001076D9" w:rsidP="00B9614A">
            <w:pPr>
              <w:pStyle w:val="Tabletext"/>
              <w:jc w:val="center"/>
            </w:pPr>
            <w:r>
              <w:t>N</w:t>
            </w:r>
          </w:p>
        </w:tc>
        <w:tc>
          <w:tcPr>
            <w:tcW w:w="810" w:type="dxa"/>
          </w:tcPr>
          <w:p w14:paraId="1DA94999" w14:textId="77777777" w:rsidR="001076D9" w:rsidRDefault="001076D9" w:rsidP="00B9614A">
            <w:pPr>
              <w:pStyle w:val="Tabletext"/>
              <w:jc w:val="center"/>
            </w:pPr>
            <w:r w:rsidRPr="00147319">
              <w:sym w:font="Wingdings" w:char="F0FC"/>
            </w:r>
          </w:p>
        </w:tc>
      </w:tr>
      <w:tr w:rsidR="001076D9" w14:paraId="1E597E4B" w14:textId="77777777" w:rsidTr="00B9614A">
        <w:tc>
          <w:tcPr>
            <w:tcW w:w="0" w:type="auto"/>
            <w:vMerge w:val="restart"/>
          </w:tcPr>
          <w:p w14:paraId="7D31798E" w14:textId="77777777" w:rsidR="001076D9" w:rsidRDefault="001076D9" w:rsidP="00B9614A">
            <w:pPr>
              <w:pStyle w:val="Tabletext"/>
            </w:pPr>
            <w:r>
              <w:t>Demographic</w:t>
            </w:r>
          </w:p>
        </w:tc>
        <w:tc>
          <w:tcPr>
            <w:tcW w:w="0" w:type="auto"/>
          </w:tcPr>
          <w:p w14:paraId="6E114AF3" w14:textId="77777777" w:rsidR="001076D9" w:rsidRPr="0029071F" w:rsidRDefault="001076D9" w:rsidP="00B9614A">
            <w:pPr>
              <w:pStyle w:val="Tabletext"/>
            </w:pPr>
            <w:r>
              <w:t>Non-white</w:t>
            </w:r>
          </w:p>
        </w:tc>
        <w:tc>
          <w:tcPr>
            <w:tcW w:w="0" w:type="auto"/>
          </w:tcPr>
          <w:p w14:paraId="2875418B" w14:textId="77777777" w:rsidR="001076D9" w:rsidRDefault="001076D9" w:rsidP="00B9614A">
            <w:pPr>
              <w:pStyle w:val="Tabletext"/>
            </w:pPr>
            <w:r w:rsidRPr="00BD38AB">
              <w:t>Householder (respondent) ra</w:t>
            </w:r>
            <w:r>
              <w:t>ce is non-white, or ethnicity is of Spanish descent.</w:t>
            </w:r>
          </w:p>
        </w:tc>
        <w:tc>
          <w:tcPr>
            <w:tcW w:w="770" w:type="dxa"/>
          </w:tcPr>
          <w:p w14:paraId="35602F50" w14:textId="77777777" w:rsidR="001076D9" w:rsidRDefault="001076D9" w:rsidP="00B9614A">
            <w:pPr>
              <w:pStyle w:val="Tabletext"/>
              <w:jc w:val="center"/>
            </w:pPr>
            <w:r>
              <w:t>B</w:t>
            </w:r>
          </w:p>
        </w:tc>
        <w:tc>
          <w:tcPr>
            <w:tcW w:w="810" w:type="dxa"/>
          </w:tcPr>
          <w:p w14:paraId="4603E448" w14:textId="77777777" w:rsidR="001076D9" w:rsidRDefault="001076D9" w:rsidP="00B9614A">
            <w:pPr>
              <w:pStyle w:val="Tabletext"/>
              <w:jc w:val="center"/>
            </w:pPr>
            <w:r w:rsidRPr="00147319">
              <w:sym w:font="Wingdings" w:char="F0FC"/>
            </w:r>
          </w:p>
        </w:tc>
      </w:tr>
      <w:tr w:rsidR="001076D9" w14:paraId="4258FD1F" w14:textId="77777777" w:rsidTr="00B9614A">
        <w:tc>
          <w:tcPr>
            <w:tcW w:w="0" w:type="auto"/>
            <w:vMerge/>
          </w:tcPr>
          <w:p w14:paraId="6A4EB871" w14:textId="77777777" w:rsidR="001076D9" w:rsidRDefault="001076D9" w:rsidP="00B9614A">
            <w:pPr>
              <w:pStyle w:val="Tabletext"/>
            </w:pPr>
          </w:p>
        </w:tc>
        <w:tc>
          <w:tcPr>
            <w:tcW w:w="0" w:type="auto"/>
          </w:tcPr>
          <w:p w14:paraId="6906C5E7" w14:textId="77777777" w:rsidR="001076D9" w:rsidRDefault="001076D9" w:rsidP="00B9614A">
            <w:pPr>
              <w:pStyle w:val="Tabletext"/>
            </w:pPr>
            <w:r>
              <w:t xml:space="preserve">Age </w:t>
            </w:r>
            <w:r w:rsidRPr="00F715F0">
              <w:rPr>
                <w:u w:val="single"/>
              </w:rPr>
              <w:t>&gt;</w:t>
            </w:r>
            <w:r>
              <w:t>65</w:t>
            </w:r>
          </w:p>
        </w:tc>
        <w:tc>
          <w:tcPr>
            <w:tcW w:w="0" w:type="auto"/>
          </w:tcPr>
          <w:p w14:paraId="43E31C9D" w14:textId="77777777" w:rsidR="001076D9" w:rsidRPr="00D83DA9" w:rsidRDefault="001076D9" w:rsidP="00B9614A">
            <w:pPr>
              <w:pStyle w:val="Tabletext"/>
            </w:pPr>
            <w:r>
              <w:t xml:space="preserve">Respondent or household member age is </w:t>
            </w:r>
            <w:r w:rsidRPr="00F715F0">
              <w:rPr>
                <w:u w:val="single"/>
              </w:rPr>
              <w:t>&gt;</w:t>
            </w:r>
            <w:r>
              <w:t xml:space="preserve">65 </w:t>
            </w:r>
          </w:p>
        </w:tc>
        <w:tc>
          <w:tcPr>
            <w:tcW w:w="770" w:type="dxa"/>
          </w:tcPr>
          <w:p w14:paraId="7ACD89E0" w14:textId="77777777" w:rsidR="001076D9" w:rsidRDefault="001076D9" w:rsidP="00B9614A">
            <w:pPr>
              <w:pStyle w:val="Tabletext"/>
              <w:jc w:val="center"/>
            </w:pPr>
            <w:r>
              <w:t>B</w:t>
            </w:r>
          </w:p>
        </w:tc>
        <w:tc>
          <w:tcPr>
            <w:tcW w:w="810" w:type="dxa"/>
          </w:tcPr>
          <w:p w14:paraId="3A2F4438" w14:textId="77777777" w:rsidR="001076D9" w:rsidRDefault="001076D9" w:rsidP="00B9614A">
            <w:pPr>
              <w:pStyle w:val="Tabletext"/>
              <w:jc w:val="center"/>
            </w:pPr>
            <w:r w:rsidRPr="00147319">
              <w:sym w:font="Wingdings" w:char="F0FC"/>
            </w:r>
          </w:p>
        </w:tc>
      </w:tr>
      <w:tr w:rsidR="001076D9" w14:paraId="66D5C596" w14:textId="77777777" w:rsidTr="00B9614A">
        <w:tc>
          <w:tcPr>
            <w:tcW w:w="0" w:type="auto"/>
            <w:vMerge/>
          </w:tcPr>
          <w:p w14:paraId="6AF373DD" w14:textId="77777777" w:rsidR="001076D9" w:rsidRDefault="001076D9" w:rsidP="00B9614A">
            <w:pPr>
              <w:pStyle w:val="Tabletext"/>
            </w:pPr>
          </w:p>
        </w:tc>
        <w:tc>
          <w:tcPr>
            <w:tcW w:w="0" w:type="auto"/>
          </w:tcPr>
          <w:p w14:paraId="18B0CAD1" w14:textId="77777777" w:rsidR="001076D9" w:rsidRDefault="001076D9" w:rsidP="00B9614A">
            <w:pPr>
              <w:pStyle w:val="Tabletext"/>
            </w:pPr>
            <w:r>
              <w:t>Lives alone</w:t>
            </w:r>
          </w:p>
        </w:tc>
        <w:tc>
          <w:tcPr>
            <w:tcW w:w="0" w:type="auto"/>
          </w:tcPr>
          <w:p w14:paraId="51616C32" w14:textId="77777777" w:rsidR="001076D9" w:rsidRPr="003378FF" w:rsidRDefault="001076D9" w:rsidP="00B9614A">
            <w:pPr>
              <w:pStyle w:val="Tabletext"/>
            </w:pPr>
            <w:r>
              <w:t>Number of household members = 1</w:t>
            </w:r>
          </w:p>
        </w:tc>
        <w:tc>
          <w:tcPr>
            <w:tcW w:w="770" w:type="dxa"/>
          </w:tcPr>
          <w:p w14:paraId="2180A3D1" w14:textId="77777777" w:rsidR="001076D9" w:rsidRDefault="001076D9" w:rsidP="00B9614A">
            <w:pPr>
              <w:pStyle w:val="Tabletext"/>
              <w:jc w:val="center"/>
            </w:pPr>
            <w:r>
              <w:t>B</w:t>
            </w:r>
          </w:p>
        </w:tc>
        <w:tc>
          <w:tcPr>
            <w:tcW w:w="810" w:type="dxa"/>
          </w:tcPr>
          <w:p w14:paraId="5F1940BF" w14:textId="77777777" w:rsidR="001076D9" w:rsidRDefault="001076D9" w:rsidP="00B9614A">
            <w:pPr>
              <w:pStyle w:val="Tabletext"/>
              <w:jc w:val="center"/>
            </w:pPr>
            <w:r w:rsidRPr="00147319">
              <w:sym w:font="Wingdings" w:char="F0FC"/>
            </w:r>
          </w:p>
        </w:tc>
      </w:tr>
      <w:tr w:rsidR="001076D9" w14:paraId="24B31866" w14:textId="77777777" w:rsidTr="00B9614A">
        <w:tc>
          <w:tcPr>
            <w:tcW w:w="0" w:type="auto"/>
            <w:vMerge/>
          </w:tcPr>
          <w:p w14:paraId="320A0268" w14:textId="77777777" w:rsidR="001076D9" w:rsidRDefault="001076D9" w:rsidP="00B9614A">
            <w:pPr>
              <w:pStyle w:val="Tabletext"/>
            </w:pPr>
          </w:p>
        </w:tc>
        <w:tc>
          <w:tcPr>
            <w:tcW w:w="0" w:type="auto"/>
          </w:tcPr>
          <w:p w14:paraId="450B0D5F" w14:textId="77777777" w:rsidR="001076D9" w:rsidRDefault="001076D9" w:rsidP="00B9614A">
            <w:pPr>
              <w:pStyle w:val="Tabletext"/>
            </w:pPr>
            <w:r>
              <w:t>Large households (7+ members)</w:t>
            </w:r>
          </w:p>
        </w:tc>
        <w:tc>
          <w:tcPr>
            <w:tcW w:w="0" w:type="auto"/>
          </w:tcPr>
          <w:p w14:paraId="540CDB30" w14:textId="2AB22F16" w:rsidR="001076D9" w:rsidRDefault="001076D9" w:rsidP="00B9614A">
            <w:pPr>
              <w:pStyle w:val="Tabletext"/>
            </w:pPr>
            <w:r>
              <w:t xml:space="preserve">Number of household members </w:t>
            </w:r>
            <w:r w:rsidRPr="006E1A73">
              <w:rPr>
                <w:u w:val="single"/>
              </w:rPr>
              <w:t>&gt;</w:t>
            </w:r>
            <w:r>
              <w:t xml:space="preserve"> 7</w:t>
            </w:r>
          </w:p>
        </w:tc>
        <w:tc>
          <w:tcPr>
            <w:tcW w:w="770" w:type="dxa"/>
          </w:tcPr>
          <w:p w14:paraId="0C41ACF0" w14:textId="77777777" w:rsidR="001076D9" w:rsidRDefault="001076D9" w:rsidP="00B9614A">
            <w:pPr>
              <w:pStyle w:val="Tabletext"/>
              <w:jc w:val="center"/>
            </w:pPr>
            <w:r>
              <w:t>B</w:t>
            </w:r>
          </w:p>
        </w:tc>
        <w:tc>
          <w:tcPr>
            <w:tcW w:w="810" w:type="dxa"/>
          </w:tcPr>
          <w:p w14:paraId="4E942743" w14:textId="77777777" w:rsidR="001076D9" w:rsidRDefault="001076D9" w:rsidP="00B9614A">
            <w:pPr>
              <w:pStyle w:val="Tabletext"/>
              <w:jc w:val="center"/>
            </w:pPr>
            <w:r w:rsidRPr="00147319">
              <w:sym w:font="Wingdings" w:char="F0FC"/>
            </w:r>
          </w:p>
        </w:tc>
      </w:tr>
      <w:tr w:rsidR="001076D9" w14:paraId="6B8336BC" w14:textId="77777777" w:rsidTr="00B9614A">
        <w:tc>
          <w:tcPr>
            <w:tcW w:w="0" w:type="auto"/>
            <w:vMerge/>
          </w:tcPr>
          <w:p w14:paraId="05BBB97B" w14:textId="77777777" w:rsidR="001076D9" w:rsidRDefault="001076D9" w:rsidP="00B9614A">
            <w:pPr>
              <w:pStyle w:val="Tabletext"/>
            </w:pPr>
          </w:p>
        </w:tc>
        <w:tc>
          <w:tcPr>
            <w:tcW w:w="0" w:type="auto"/>
          </w:tcPr>
          <w:p w14:paraId="0DC74E8C" w14:textId="77777777" w:rsidR="001076D9" w:rsidRDefault="001076D9" w:rsidP="00B9614A">
            <w:pPr>
              <w:pStyle w:val="Tabletext"/>
            </w:pPr>
            <w:r>
              <w:t>Poverty</w:t>
            </w:r>
          </w:p>
        </w:tc>
        <w:tc>
          <w:tcPr>
            <w:tcW w:w="0" w:type="auto"/>
          </w:tcPr>
          <w:p w14:paraId="321D0071" w14:textId="77777777" w:rsidR="001076D9" w:rsidRPr="007A2533" w:rsidRDefault="001076D9" w:rsidP="00B9614A">
            <w:pPr>
              <w:pStyle w:val="Tabletext"/>
            </w:pPr>
            <w:r>
              <w:t>Calculated from gross income and number of household members based on U.S. Census Bureau definition for poverty threshold</w:t>
            </w:r>
          </w:p>
        </w:tc>
        <w:tc>
          <w:tcPr>
            <w:tcW w:w="770" w:type="dxa"/>
          </w:tcPr>
          <w:p w14:paraId="1DA6AFA4" w14:textId="77777777" w:rsidR="001076D9" w:rsidRDefault="001076D9" w:rsidP="00B9614A">
            <w:pPr>
              <w:pStyle w:val="Tabletext"/>
              <w:jc w:val="center"/>
            </w:pPr>
            <w:r>
              <w:t>B</w:t>
            </w:r>
          </w:p>
        </w:tc>
        <w:tc>
          <w:tcPr>
            <w:tcW w:w="810" w:type="dxa"/>
          </w:tcPr>
          <w:p w14:paraId="1EACF016" w14:textId="77777777" w:rsidR="001076D9" w:rsidRDefault="001076D9" w:rsidP="00B9614A">
            <w:pPr>
              <w:pStyle w:val="Tabletext"/>
              <w:jc w:val="center"/>
            </w:pPr>
            <w:r w:rsidRPr="00147319">
              <w:sym w:font="Wingdings" w:char="F0FC"/>
            </w:r>
          </w:p>
        </w:tc>
      </w:tr>
      <w:tr w:rsidR="001076D9" w14:paraId="350CB130" w14:textId="77777777" w:rsidTr="00B9614A">
        <w:tc>
          <w:tcPr>
            <w:tcW w:w="0" w:type="auto"/>
            <w:vMerge/>
          </w:tcPr>
          <w:p w14:paraId="23D7B3B9" w14:textId="77777777" w:rsidR="001076D9" w:rsidRDefault="001076D9" w:rsidP="00B9614A">
            <w:pPr>
              <w:pStyle w:val="Tabletext"/>
            </w:pPr>
          </w:p>
        </w:tc>
        <w:tc>
          <w:tcPr>
            <w:tcW w:w="0" w:type="auto"/>
          </w:tcPr>
          <w:p w14:paraId="25168990" w14:textId="77777777" w:rsidR="001076D9" w:rsidRDefault="001076D9" w:rsidP="00B9614A">
            <w:pPr>
              <w:pStyle w:val="Tabletext"/>
            </w:pPr>
            <w:r>
              <w:t>Unemployed</w:t>
            </w:r>
          </w:p>
        </w:tc>
        <w:tc>
          <w:tcPr>
            <w:tcW w:w="0" w:type="auto"/>
          </w:tcPr>
          <w:p w14:paraId="6CA82C7B" w14:textId="77777777" w:rsidR="001076D9" w:rsidRPr="00E97EBB" w:rsidRDefault="001076D9" w:rsidP="00B9614A">
            <w:pPr>
              <w:pStyle w:val="Tabletext"/>
            </w:pPr>
            <w:r>
              <w:t>Respondent is unemployed or retired</w:t>
            </w:r>
          </w:p>
        </w:tc>
        <w:tc>
          <w:tcPr>
            <w:tcW w:w="770" w:type="dxa"/>
          </w:tcPr>
          <w:p w14:paraId="0ABF5C5A" w14:textId="77777777" w:rsidR="001076D9" w:rsidRDefault="001076D9" w:rsidP="00B9614A">
            <w:pPr>
              <w:pStyle w:val="Tabletext"/>
              <w:jc w:val="center"/>
            </w:pPr>
            <w:r>
              <w:t>B</w:t>
            </w:r>
          </w:p>
        </w:tc>
        <w:tc>
          <w:tcPr>
            <w:tcW w:w="810" w:type="dxa"/>
          </w:tcPr>
          <w:p w14:paraId="6A46B14C" w14:textId="77777777" w:rsidR="001076D9" w:rsidRDefault="001076D9" w:rsidP="00B9614A">
            <w:pPr>
              <w:pStyle w:val="Tabletext"/>
              <w:jc w:val="center"/>
            </w:pPr>
            <w:r w:rsidRPr="00147319">
              <w:sym w:font="Wingdings" w:char="F0FC"/>
            </w:r>
          </w:p>
        </w:tc>
      </w:tr>
      <w:tr w:rsidR="001076D9" w14:paraId="1B777739" w14:textId="77777777" w:rsidTr="00B9614A">
        <w:tc>
          <w:tcPr>
            <w:tcW w:w="0" w:type="auto"/>
            <w:vMerge/>
          </w:tcPr>
          <w:p w14:paraId="42F64C96" w14:textId="77777777" w:rsidR="001076D9" w:rsidRDefault="001076D9" w:rsidP="00B9614A">
            <w:pPr>
              <w:pStyle w:val="Tabletext"/>
            </w:pPr>
          </w:p>
        </w:tc>
        <w:tc>
          <w:tcPr>
            <w:tcW w:w="0" w:type="auto"/>
          </w:tcPr>
          <w:p w14:paraId="7DE501A3" w14:textId="77777777" w:rsidR="001076D9" w:rsidRDefault="001076D9" w:rsidP="00B9614A">
            <w:pPr>
              <w:pStyle w:val="Tabletext"/>
            </w:pPr>
            <w:r>
              <w:t xml:space="preserve">Education </w:t>
            </w:r>
            <w:r w:rsidRPr="00E86CCB">
              <w:rPr>
                <w:u w:val="single"/>
              </w:rPr>
              <w:t>&lt;</w:t>
            </w:r>
            <w:r>
              <w:t xml:space="preserve"> High School</w:t>
            </w:r>
          </w:p>
        </w:tc>
        <w:tc>
          <w:tcPr>
            <w:tcW w:w="0" w:type="auto"/>
          </w:tcPr>
          <w:p w14:paraId="557CC0AD" w14:textId="77777777" w:rsidR="001076D9" w:rsidRPr="00E97EBB" w:rsidRDefault="001076D9" w:rsidP="00B9614A">
            <w:pPr>
              <w:pStyle w:val="Tabletext"/>
            </w:pPr>
            <w:r>
              <w:t>Highest education attained is high school or equivalent</w:t>
            </w:r>
          </w:p>
        </w:tc>
        <w:tc>
          <w:tcPr>
            <w:tcW w:w="770" w:type="dxa"/>
          </w:tcPr>
          <w:p w14:paraId="2DF88D6F" w14:textId="77777777" w:rsidR="001076D9" w:rsidRDefault="001076D9" w:rsidP="00B9614A">
            <w:pPr>
              <w:pStyle w:val="Tabletext"/>
              <w:jc w:val="center"/>
            </w:pPr>
          </w:p>
        </w:tc>
        <w:tc>
          <w:tcPr>
            <w:tcW w:w="810" w:type="dxa"/>
          </w:tcPr>
          <w:p w14:paraId="335693F9" w14:textId="77777777" w:rsidR="001076D9" w:rsidRDefault="001076D9" w:rsidP="00B9614A">
            <w:pPr>
              <w:pStyle w:val="Tabletext"/>
              <w:jc w:val="center"/>
            </w:pPr>
            <w:r w:rsidRPr="00147319">
              <w:sym w:font="Wingdings" w:char="F0FC"/>
            </w:r>
          </w:p>
        </w:tc>
      </w:tr>
      <w:tr w:rsidR="001076D9" w14:paraId="3CD4C2EB" w14:textId="77777777" w:rsidTr="00B9614A">
        <w:tc>
          <w:tcPr>
            <w:tcW w:w="0" w:type="auto"/>
            <w:vMerge/>
          </w:tcPr>
          <w:p w14:paraId="51258F49" w14:textId="77777777" w:rsidR="001076D9" w:rsidRDefault="001076D9" w:rsidP="00B9614A">
            <w:pPr>
              <w:pStyle w:val="Tabletext"/>
            </w:pPr>
          </w:p>
        </w:tc>
        <w:tc>
          <w:tcPr>
            <w:tcW w:w="0" w:type="auto"/>
          </w:tcPr>
          <w:p w14:paraId="28F6CB99" w14:textId="77777777" w:rsidR="001076D9" w:rsidRPr="007A2533" w:rsidRDefault="001076D9" w:rsidP="00B9614A">
            <w:pPr>
              <w:pStyle w:val="Tabletext"/>
            </w:pPr>
            <w:r>
              <w:t>Renting</w:t>
            </w:r>
          </w:p>
        </w:tc>
        <w:tc>
          <w:tcPr>
            <w:tcW w:w="0" w:type="auto"/>
          </w:tcPr>
          <w:p w14:paraId="1EED6B86" w14:textId="77777777" w:rsidR="001076D9" w:rsidRDefault="001076D9" w:rsidP="00B9614A">
            <w:pPr>
              <w:pStyle w:val="Tabletext"/>
            </w:pPr>
            <w:r>
              <w:t>Household pays rent</w:t>
            </w:r>
          </w:p>
        </w:tc>
        <w:tc>
          <w:tcPr>
            <w:tcW w:w="770" w:type="dxa"/>
          </w:tcPr>
          <w:p w14:paraId="1542BD56" w14:textId="77777777" w:rsidR="001076D9" w:rsidRDefault="001076D9" w:rsidP="00B9614A">
            <w:pPr>
              <w:pStyle w:val="Tabletext"/>
              <w:jc w:val="center"/>
            </w:pPr>
            <w:r>
              <w:t>B</w:t>
            </w:r>
          </w:p>
        </w:tc>
        <w:tc>
          <w:tcPr>
            <w:tcW w:w="810" w:type="dxa"/>
          </w:tcPr>
          <w:p w14:paraId="3C6654EC" w14:textId="77777777" w:rsidR="001076D9" w:rsidRDefault="001076D9" w:rsidP="00B9614A">
            <w:pPr>
              <w:pStyle w:val="Tabletext"/>
              <w:jc w:val="center"/>
            </w:pPr>
            <w:r w:rsidRPr="00147319">
              <w:sym w:font="Wingdings" w:char="F0FC"/>
            </w:r>
          </w:p>
        </w:tc>
      </w:tr>
      <w:tr w:rsidR="001076D9" w14:paraId="2A5438AF" w14:textId="77777777" w:rsidTr="00B9614A">
        <w:tc>
          <w:tcPr>
            <w:tcW w:w="0" w:type="auto"/>
            <w:vMerge/>
          </w:tcPr>
          <w:p w14:paraId="49467B66" w14:textId="77777777" w:rsidR="001076D9" w:rsidRDefault="001076D9" w:rsidP="00B9614A">
            <w:pPr>
              <w:pStyle w:val="Tabletext"/>
            </w:pPr>
          </w:p>
        </w:tc>
        <w:tc>
          <w:tcPr>
            <w:tcW w:w="0" w:type="auto"/>
          </w:tcPr>
          <w:p w14:paraId="2FF8E394" w14:textId="77777777" w:rsidR="001076D9" w:rsidRPr="00926E1D" w:rsidRDefault="001076D9" w:rsidP="00B9614A">
            <w:pPr>
              <w:pStyle w:val="Tabletext"/>
            </w:pPr>
            <w:r>
              <w:t>Pays utility or for other fuel</w:t>
            </w:r>
          </w:p>
        </w:tc>
        <w:tc>
          <w:tcPr>
            <w:tcW w:w="0" w:type="auto"/>
          </w:tcPr>
          <w:p w14:paraId="7A3F7157" w14:textId="77777777" w:rsidR="001076D9" w:rsidRDefault="001076D9" w:rsidP="00B9614A">
            <w:pPr>
              <w:pStyle w:val="Tabletext"/>
            </w:pPr>
            <w:r>
              <w:t xml:space="preserve">Household </w:t>
            </w:r>
            <w:r w:rsidRPr="00926E1D">
              <w:t>pays for electricity</w:t>
            </w:r>
            <w:r>
              <w:t>, natural gas, propane, and/or fuel oil</w:t>
            </w:r>
          </w:p>
        </w:tc>
        <w:tc>
          <w:tcPr>
            <w:tcW w:w="770" w:type="dxa"/>
          </w:tcPr>
          <w:p w14:paraId="6EEC08DE" w14:textId="77777777" w:rsidR="001076D9" w:rsidRDefault="001076D9" w:rsidP="00B9614A">
            <w:pPr>
              <w:pStyle w:val="Tabletext"/>
              <w:jc w:val="center"/>
            </w:pPr>
            <w:r>
              <w:t>B</w:t>
            </w:r>
          </w:p>
        </w:tc>
        <w:tc>
          <w:tcPr>
            <w:tcW w:w="810" w:type="dxa"/>
          </w:tcPr>
          <w:p w14:paraId="701D2CFF" w14:textId="77777777" w:rsidR="001076D9" w:rsidRDefault="001076D9" w:rsidP="00B9614A">
            <w:pPr>
              <w:pStyle w:val="Tabletext"/>
              <w:jc w:val="center"/>
            </w:pPr>
          </w:p>
        </w:tc>
      </w:tr>
      <w:tr w:rsidR="001076D9" w14:paraId="2C0CE817" w14:textId="77777777" w:rsidTr="00B9614A">
        <w:tc>
          <w:tcPr>
            <w:tcW w:w="0" w:type="auto"/>
            <w:vMerge w:val="restart"/>
          </w:tcPr>
          <w:p w14:paraId="7C0F69C3" w14:textId="77777777" w:rsidR="001076D9" w:rsidRDefault="001076D9" w:rsidP="00B9614A">
            <w:pPr>
              <w:pStyle w:val="Tabletext"/>
            </w:pPr>
            <w:r>
              <w:t>Building construction</w:t>
            </w:r>
          </w:p>
        </w:tc>
        <w:tc>
          <w:tcPr>
            <w:tcW w:w="0" w:type="auto"/>
          </w:tcPr>
          <w:p w14:paraId="76595606" w14:textId="77777777" w:rsidR="001076D9" w:rsidRPr="00C73EBE" w:rsidRDefault="001076D9" w:rsidP="00B9614A">
            <w:pPr>
              <w:pStyle w:val="Tabletext"/>
            </w:pPr>
            <w:r>
              <w:t>Construction age</w:t>
            </w:r>
          </w:p>
        </w:tc>
        <w:tc>
          <w:tcPr>
            <w:tcW w:w="0" w:type="auto"/>
          </w:tcPr>
          <w:p w14:paraId="5C460B81" w14:textId="77777777" w:rsidR="001076D9" w:rsidRDefault="001076D9" w:rsidP="00B9614A">
            <w:pPr>
              <w:pStyle w:val="Tabletext"/>
            </w:pPr>
            <w:r>
              <w:t>Estimated year</w:t>
            </w:r>
            <w:r w:rsidRPr="000B3BB5">
              <w:t xml:space="preserve"> when housing unit was built</w:t>
            </w:r>
            <w:r>
              <w:t xml:space="preserve"> (taken as the maximum of the range in RECS response coding)</w:t>
            </w:r>
          </w:p>
        </w:tc>
        <w:tc>
          <w:tcPr>
            <w:tcW w:w="770" w:type="dxa"/>
          </w:tcPr>
          <w:p w14:paraId="0634404A" w14:textId="77777777" w:rsidR="001076D9" w:rsidRDefault="001076D9" w:rsidP="00B9614A">
            <w:pPr>
              <w:pStyle w:val="Tabletext"/>
              <w:jc w:val="center"/>
            </w:pPr>
            <w:r>
              <w:t>N</w:t>
            </w:r>
          </w:p>
        </w:tc>
        <w:tc>
          <w:tcPr>
            <w:tcW w:w="810" w:type="dxa"/>
          </w:tcPr>
          <w:p w14:paraId="1D9303FE" w14:textId="77777777" w:rsidR="001076D9" w:rsidRDefault="001076D9" w:rsidP="00B9614A">
            <w:pPr>
              <w:pStyle w:val="Tabletext"/>
              <w:jc w:val="center"/>
            </w:pPr>
            <w:r w:rsidRPr="00147319">
              <w:sym w:font="Wingdings" w:char="F0FC"/>
            </w:r>
          </w:p>
        </w:tc>
      </w:tr>
      <w:tr w:rsidR="001076D9" w14:paraId="24FE007E" w14:textId="77777777" w:rsidTr="00B9614A">
        <w:tc>
          <w:tcPr>
            <w:tcW w:w="0" w:type="auto"/>
            <w:vMerge/>
          </w:tcPr>
          <w:p w14:paraId="06307268" w14:textId="77777777" w:rsidR="001076D9" w:rsidRDefault="001076D9" w:rsidP="00B9614A">
            <w:pPr>
              <w:pStyle w:val="Tabletext"/>
            </w:pPr>
          </w:p>
        </w:tc>
        <w:tc>
          <w:tcPr>
            <w:tcW w:w="0" w:type="auto"/>
          </w:tcPr>
          <w:p w14:paraId="0BA1AE2A" w14:textId="77777777" w:rsidR="001076D9" w:rsidRPr="008B05EB" w:rsidRDefault="001076D9" w:rsidP="00B9614A">
            <w:pPr>
              <w:pStyle w:val="Tabletext"/>
            </w:pPr>
            <w:r>
              <w:t>Apartment</w:t>
            </w:r>
          </w:p>
        </w:tc>
        <w:tc>
          <w:tcPr>
            <w:tcW w:w="0" w:type="auto"/>
          </w:tcPr>
          <w:p w14:paraId="54A34571" w14:textId="77777777" w:rsidR="001076D9" w:rsidRDefault="001076D9" w:rsidP="00B9614A">
            <w:pPr>
              <w:pStyle w:val="Tabletext"/>
            </w:pPr>
            <w:r>
              <w:t>Type of housing unit is low-rise or high-rise apartment</w:t>
            </w:r>
          </w:p>
        </w:tc>
        <w:tc>
          <w:tcPr>
            <w:tcW w:w="770" w:type="dxa"/>
          </w:tcPr>
          <w:p w14:paraId="16ABE522" w14:textId="77777777" w:rsidR="001076D9" w:rsidRDefault="001076D9" w:rsidP="00B9614A">
            <w:pPr>
              <w:pStyle w:val="Tabletext"/>
              <w:jc w:val="center"/>
            </w:pPr>
            <w:r>
              <w:t>B</w:t>
            </w:r>
          </w:p>
        </w:tc>
        <w:tc>
          <w:tcPr>
            <w:tcW w:w="810" w:type="dxa"/>
          </w:tcPr>
          <w:p w14:paraId="5B81FE1A" w14:textId="77777777" w:rsidR="001076D9" w:rsidRDefault="001076D9" w:rsidP="00B9614A">
            <w:pPr>
              <w:pStyle w:val="Tabletext"/>
              <w:jc w:val="center"/>
            </w:pPr>
          </w:p>
        </w:tc>
      </w:tr>
      <w:tr w:rsidR="001076D9" w14:paraId="52ACB25C" w14:textId="77777777" w:rsidTr="00B9614A">
        <w:tc>
          <w:tcPr>
            <w:tcW w:w="0" w:type="auto"/>
          </w:tcPr>
          <w:p w14:paraId="3F659B78" w14:textId="77777777" w:rsidR="001076D9" w:rsidRDefault="001076D9" w:rsidP="00B9614A">
            <w:pPr>
              <w:pStyle w:val="Tabletext"/>
            </w:pPr>
          </w:p>
        </w:tc>
        <w:tc>
          <w:tcPr>
            <w:tcW w:w="0" w:type="auto"/>
          </w:tcPr>
          <w:p w14:paraId="380A1F30" w14:textId="77777777" w:rsidR="001076D9" w:rsidRDefault="001076D9" w:rsidP="00B9614A">
            <w:pPr>
              <w:pStyle w:val="Tabletext"/>
            </w:pPr>
            <w:r>
              <w:t>Mobile</w:t>
            </w:r>
          </w:p>
        </w:tc>
        <w:tc>
          <w:tcPr>
            <w:tcW w:w="0" w:type="auto"/>
          </w:tcPr>
          <w:p w14:paraId="775B510C" w14:textId="77777777" w:rsidR="001076D9" w:rsidRDefault="001076D9" w:rsidP="00B9614A">
            <w:pPr>
              <w:pStyle w:val="Tabletext"/>
            </w:pPr>
            <w:r>
              <w:t>Type of housing unit is mobile home</w:t>
            </w:r>
          </w:p>
        </w:tc>
        <w:tc>
          <w:tcPr>
            <w:tcW w:w="770" w:type="dxa"/>
          </w:tcPr>
          <w:p w14:paraId="054126AF" w14:textId="77777777" w:rsidR="001076D9" w:rsidRDefault="001076D9" w:rsidP="00B9614A">
            <w:pPr>
              <w:pStyle w:val="Tabletext"/>
              <w:jc w:val="center"/>
            </w:pPr>
            <w:r>
              <w:t>B</w:t>
            </w:r>
          </w:p>
        </w:tc>
        <w:tc>
          <w:tcPr>
            <w:tcW w:w="810" w:type="dxa"/>
          </w:tcPr>
          <w:p w14:paraId="2F75BBA7" w14:textId="77777777" w:rsidR="001076D9" w:rsidRDefault="001076D9" w:rsidP="00B9614A">
            <w:pPr>
              <w:pStyle w:val="Tabletext"/>
              <w:jc w:val="center"/>
            </w:pPr>
          </w:p>
        </w:tc>
      </w:tr>
      <w:tr w:rsidR="001076D9" w14:paraId="074EEFF0" w14:textId="77777777" w:rsidTr="00B9614A">
        <w:tc>
          <w:tcPr>
            <w:tcW w:w="0" w:type="auto"/>
            <w:vMerge w:val="restart"/>
          </w:tcPr>
          <w:p w14:paraId="46435235" w14:textId="77777777" w:rsidR="001076D9" w:rsidRDefault="001076D9" w:rsidP="00B9614A">
            <w:pPr>
              <w:pStyle w:val="Tabletext"/>
            </w:pPr>
            <w:r>
              <w:t>Building envelope</w:t>
            </w:r>
          </w:p>
        </w:tc>
        <w:tc>
          <w:tcPr>
            <w:tcW w:w="0" w:type="auto"/>
          </w:tcPr>
          <w:p w14:paraId="1FB58C7A" w14:textId="77777777" w:rsidR="001076D9" w:rsidRPr="000B3BB5" w:rsidRDefault="001076D9" w:rsidP="00B9614A">
            <w:pPr>
              <w:pStyle w:val="Tabletext"/>
            </w:pPr>
            <w:r>
              <w:t>Thermal mass</w:t>
            </w:r>
          </w:p>
        </w:tc>
        <w:tc>
          <w:tcPr>
            <w:tcW w:w="0" w:type="auto"/>
          </w:tcPr>
          <w:p w14:paraId="12DAFA44" w14:textId="77777777" w:rsidR="001076D9" w:rsidRDefault="001076D9" w:rsidP="00B9614A">
            <w:pPr>
              <w:pStyle w:val="Tabletext"/>
            </w:pPr>
            <w:r>
              <w:t>Wall or roof type is a thermally massive material (brick, stone, or concrete)</w:t>
            </w:r>
          </w:p>
        </w:tc>
        <w:tc>
          <w:tcPr>
            <w:tcW w:w="770" w:type="dxa"/>
          </w:tcPr>
          <w:p w14:paraId="75BFC34A" w14:textId="77777777" w:rsidR="001076D9" w:rsidRDefault="001076D9" w:rsidP="00B9614A">
            <w:pPr>
              <w:pStyle w:val="Tabletext"/>
              <w:jc w:val="center"/>
            </w:pPr>
            <w:r>
              <w:t>B</w:t>
            </w:r>
          </w:p>
        </w:tc>
        <w:tc>
          <w:tcPr>
            <w:tcW w:w="810" w:type="dxa"/>
          </w:tcPr>
          <w:p w14:paraId="58B3DDC0" w14:textId="77777777" w:rsidR="001076D9" w:rsidRDefault="001076D9" w:rsidP="00B9614A">
            <w:pPr>
              <w:pStyle w:val="Tabletext"/>
              <w:jc w:val="center"/>
            </w:pPr>
          </w:p>
        </w:tc>
      </w:tr>
      <w:tr w:rsidR="001076D9" w14:paraId="4B334E55" w14:textId="77777777" w:rsidTr="00B9614A">
        <w:tc>
          <w:tcPr>
            <w:tcW w:w="0" w:type="auto"/>
            <w:vMerge/>
          </w:tcPr>
          <w:p w14:paraId="7A576DDA" w14:textId="77777777" w:rsidR="001076D9" w:rsidRDefault="001076D9" w:rsidP="00B9614A">
            <w:pPr>
              <w:pStyle w:val="Tabletext"/>
            </w:pPr>
          </w:p>
        </w:tc>
        <w:tc>
          <w:tcPr>
            <w:tcW w:w="0" w:type="auto"/>
          </w:tcPr>
          <w:p w14:paraId="071E2FB9" w14:textId="77777777" w:rsidR="001076D9" w:rsidRPr="004B6F83" w:rsidRDefault="001076D9" w:rsidP="00B9614A">
            <w:pPr>
              <w:pStyle w:val="Tabletext"/>
            </w:pPr>
            <w:r>
              <w:t>Insulation</w:t>
            </w:r>
          </w:p>
        </w:tc>
        <w:tc>
          <w:tcPr>
            <w:tcW w:w="0" w:type="auto"/>
          </w:tcPr>
          <w:p w14:paraId="2C19727F" w14:textId="77777777" w:rsidR="001076D9" w:rsidRDefault="001076D9" w:rsidP="00B9614A">
            <w:pPr>
              <w:pStyle w:val="Tabletext"/>
            </w:pPr>
            <w:r w:rsidRPr="00B92528">
              <w:t>Level of insulation</w:t>
            </w:r>
          </w:p>
        </w:tc>
        <w:tc>
          <w:tcPr>
            <w:tcW w:w="770" w:type="dxa"/>
          </w:tcPr>
          <w:p w14:paraId="674A4501" w14:textId="77777777" w:rsidR="001076D9" w:rsidRDefault="001076D9" w:rsidP="00B9614A">
            <w:pPr>
              <w:pStyle w:val="Tabletext"/>
              <w:jc w:val="center"/>
            </w:pPr>
            <w:r>
              <w:t>N</w:t>
            </w:r>
          </w:p>
        </w:tc>
        <w:tc>
          <w:tcPr>
            <w:tcW w:w="810" w:type="dxa"/>
          </w:tcPr>
          <w:p w14:paraId="27463385" w14:textId="77777777" w:rsidR="001076D9" w:rsidRDefault="001076D9" w:rsidP="00B9614A">
            <w:pPr>
              <w:pStyle w:val="Tabletext"/>
              <w:jc w:val="center"/>
            </w:pPr>
          </w:p>
        </w:tc>
      </w:tr>
      <w:tr w:rsidR="001076D9" w14:paraId="6A0A0173" w14:textId="77777777" w:rsidTr="00B9614A">
        <w:tc>
          <w:tcPr>
            <w:tcW w:w="0" w:type="auto"/>
            <w:vMerge/>
          </w:tcPr>
          <w:p w14:paraId="0A50E4A1" w14:textId="77777777" w:rsidR="001076D9" w:rsidRDefault="001076D9" w:rsidP="00B9614A">
            <w:pPr>
              <w:pStyle w:val="Tabletext"/>
            </w:pPr>
          </w:p>
        </w:tc>
        <w:tc>
          <w:tcPr>
            <w:tcW w:w="0" w:type="auto"/>
          </w:tcPr>
          <w:p w14:paraId="5C5FAE7B" w14:textId="77777777" w:rsidR="001076D9" w:rsidRPr="00B92528" w:rsidRDefault="001076D9" w:rsidP="00B9614A">
            <w:pPr>
              <w:pStyle w:val="Tabletext"/>
            </w:pPr>
            <w:r>
              <w:t>Infiltration</w:t>
            </w:r>
          </w:p>
        </w:tc>
        <w:tc>
          <w:tcPr>
            <w:tcW w:w="0" w:type="auto"/>
          </w:tcPr>
          <w:p w14:paraId="5DB59526" w14:textId="77777777" w:rsidR="001076D9" w:rsidRDefault="001076D9" w:rsidP="00B9614A">
            <w:pPr>
              <w:pStyle w:val="Tabletext"/>
            </w:pPr>
            <w:r w:rsidRPr="000E52F8">
              <w:t>Frequency of draft</w:t>
            </w:r>
          </w:p>
        </w:tc>
        <w:tc>
          <w:tcPr>
            <w:tcW w:w="770" w:type="dxa"/>
          </w:tcPr>
          <w:p w14:paraId="1A27C54C" w14:textId="77777777" w:rsidR="001076D9" w:rsidRDefault="001076D9" w:rsidP="00B9614A">
            <w:pPr>
              <w:pStyle w:val="Tabletext"/>
              <w:jc w:val="center"/>
            </w:pPr>
            <w:r>
              <w:t>N</w:t>
            </w:r>
          </w:p>
        </w:tc>
        <w:tc>
          <w:tcPr>
            <w:tcW w:w="810" w:type="dxa"/>
          </w:tcPr>
          <w:p w14:paraId="02C8BD12" w14:textId="77777777" w:rsidR="001076D9" w:rsidRDefault="001076D9" w:rsidP="00B9614A">
            <w:pPr>
              <w:pStyle w:val="Tabletext"/>
              <w:jc w:val="center"/>
            </w:pPr>
          </w:p>
        </w:tc>
      </w:tr>
      <w:tr w:rsidR="001076D9" w14:paraId="1D4C40F7" w14:textId="77777777" w:rsidTr="00B9614A">
        <w:tc>
          <w:tcPr>
            <w:tcW w:w="0" w:type="auto"/>
            <w:vMerge/>
          </w:tcPr>
          <w:p w14:paraId="1CE6958A" w14:textId="77777777" w:rsidR="001076D9" w:rsidRDefault="001076D9" w:rsidP="00B9614A">
            <w:pPr>
              <w:pStyle w:val="Tabletext"/>
            </w:pPr>
          </w:p>
        </w:tc>
        <w:tc>
          <w:tcPr>
            <w:tcW w:w="0" w:type="auto"/>
          </w:tcPr>
          <w:p w14:paraId="550383CE" w14:textId="77777777" w:rsidR="001076D9" w:rsidRPr="000E52F8" w:rsidRDefault="001076D9" w:rsidP="00B9614A">
            <w:pPr>
              <w:pStyle w:val="Tabletext"/>
            </w:pPr>
            <w:r>
              <w:t>Window per room</w:t>
            </w:r>
          </w:p>
        </w:tc>
        <w:tc>
          <w:tcPr>
            <w:tcW w:w="0" w:type="auto"/>
          </w:tcPr>
          <w:p w14:paraId="02E46A47" w14:textId="77777777" w:rsidR="001076D9" w:rsidRDefault="001076D9" w:rsidP="00B9614A">
            <w:pPr>
              <w:pStyle w:val="Tabletext"/>
            </w:pPr>
            <w:r w:rsidRPr="000E52F8">
              <w:t>Number of windows</w:t>
            </w:r>
            <w:r>
              <w:t xml:space="preserve"> per room as an approximation for window-to-wall ratio</w:t>
            </w:r>
          </w:p>
        </w:tc>
        <w:tc>
          <w:tcPr>
            <w:tcW w:w="770" w:type="dxa"/>
          </w:tcPr>
          <w:p w14:paraId="0FCDE39D" w14:textId="77777777" w:rsidR="001076D9" w:rsidRDefault="001076D9" w:rsidP="00B9614A">
            <w:pPr>
              <w:pStyle w:val="Tabletext"/>
              <w:jc w:val="center"/>
            </w:pPr>
            <w:r>
              <w:t>N</w:t>
            </w:r>
          </w:p>
        </w:tc>
        <w:tc>
          <w:tcPr>
            <w:tcW w:w="810" w:type="dxa"/>
          </w:tcPr>
          <w:p w14:paraId="68A1ABE4" w14:textId="77777777" w:rsidR="001076D9" w:rsidRDefault="001076D9" w:rsidP="00B9614A">
            <w:pPr>
              <w:pStyle w:val="Tabletext"/>
              <w:jc w:val="center"/>
            </w:pPr>
          </w:p>
        </w:tc>
      </w:tr>
      <w:tr w:rsidR="001076D9" w14:paraId="1C0C5A3B" w14:textId="77777777" w:rsidTr="00B9614A">
        <w:tc>
          <w:tcPr>
            <w:tcW w:w="0" w:type="auto"/>
            <w:vMerge/>
          </w:tcPr>
          <w:p w14:paraId="1165163B" w14:textId="77777777" w:rsidR="001076D9" w:rsidRDefault="001076D9" w:rsidP="00B9614A">
            <w:pPr>
              <w:pStyle w:val="Tabletext"/>
            </w:pPr>
          </w:p>
        </w:tc>
        <w:tc>
          <w:tcPr>
            <w:tcW w:w="0" w:type="auto"/>
          </w:tcPr>
          <w:p w14:paraId="6E128862" w14:textId="77777777" w:rsidR="001076D9" w:rsidRPr="002D4B49" w:rsidRDefault="001076D9" w:rsidP="00B9614A">
            <w:pPr>
              <w:pStyle w:val="Tabletext"/>
            </w:pPr>
            <w:r>
              <w:t>Glazing type</w:t>
            </w:r>
          </w:p>
        </w:tc>
        <w:tc>
          <w:tcPr>
            <w:tcW w:w="0" w:type="auto"/>
          </w:tcPr>
          <w:p w14:paraId="58070538" w14:textId="77777777" w:rsidR="001076D9" w:rsidRDefault="001076D9" w:rsidP="00B9614A">
            <w:pPr>
              <w:pStyle w:val="Tabletext"/>
            </w:pPr>
            <w:r w:rsidRPr="00D866CD">
              <w:t>Type of glass in most windows</w:t>
            </w:r>
          </w:p>
        </w:tc>
        <w:tc>
          <w:tcPr>
            <w:tcW w:w="770" w:type="dxa"/>
          </w:tcPr>
          <w:p w14:paraId="20602BA8" w14:textId="77777777" w:rsidR="001076D9" w:rsidRDefault="001076D9" w:rsidP="00B9614A">
            <w:pPr>
              <w:pStyle w:val="Tabletext"/>
              <w:jc w:val="center"/>
            </w:pPr>
            <w:r>
              <w:t>N</w:t>
            </w:r>
          </w:p>
        </w:tc>
        <w:tc>
          <w:tcPr>
            <w:tcW w:w="810" w:type="dxa"/>
          </w:tcPr>
          <w:p w14:paraId="24779E9B" w14:textId="77777777" w:rsidR="001076D9" w:rsidRDefault="001076D9" w:rsidP="00B9614A">
            <w:pPr>
              <w:pStyle w:val="Tabletext"/>
              <w:jc w:val="center"/>
            </w:pPr>
          </w:p>
        </w:tc>
      </w:tr>
      <w:tr w:rsidR="001076D9" w14:paraId="79801428" w14:textId="77777777" w:rsidTr="00B9614A">
        <w:tc>
          <w:tcPr>
            <w:tcW w:w="0" w:type="auto"/>
            <w:vMerge w:val="restart"/>
          </w:tcPr>
          <w:p w14:paraId="20EE4C92" w14:textId="77777777" w:rsidR="001076D9" w:rsidRDefault="001076D9" w:rsidP="00B9614A">
            <w:pPr>
              <w:pStyle w:val="Tabletext"/>
            </w:pPr>
            <w:r>
              <w:t>Building HVAC</w:t>
            </w:r>
          </w:p>
        </w:tc>
        <w:tc>
          <w:tcPr>
            <w:tcW w:w="0" w:type="auto"/>
          </w:tcPr>
          <w:p w14:paraId="70FC4D49" w14:textId="77777777" w:rsidR="001076D9" w:rsidRPr="00EB0857" w:rsidRDefault="001076D9" w:rsidP="00B9614A">
            <w:pPr>
              <w:pStyle w:val="Tabletext"/>
            </w:pPr>
            <w:r>
              <w:t>AC type</w:t>
            </w:r>
          </w:p>
        </w:tc>
        <w:tc>
          <w:tcPr>
            <w:tcW w:w="0" w:type="auto"/>
          </w:tcPr>
          <w:p w14:paraId="1A2DD7F7" w14:textId="77777777" w:rsidR="001076D9" w:rsidRDefault="001076D9" w:rsidP="00B9614A">
            <w:pPr>
              <w:pStyle w:val="Tabletext"/>
            </w:pPr>
            <w:r w:rsidRPr="00EB0857">
              <w:t>Air conditioning equipment used</w:t>
            </w:r>
          </w:p>
        </w:tc>
        <w:tc>
          <w:tcPr>
            <w:tcW w:w="770" w:type="dxa"/>
          </w:tcPr>
          <w:p w14:paraId="6BC2EE87" w14:textId="77777777" w:rsidR="001076D9" w:rsidRDefault="001076D9" w:rsidP="00B9614A">
            <w:pPr>
              <w:pStyle w:val="Tabletext"/>
              <w:jc w:val="center"/>
            </w:pPr>
            <w:r>
              <w:t>B</w:t>
            </w:r>
          </w:p>
        </w:tc>
        <w:tc>
          <w:tcPr>
            <w:tcW w:w="810" w:type="dxa"/>
          </w:tcPr>
          <w:p w14:paraId="30459C0B" w14:textId="77777777" w:rsidR="001076D9" w:rsidRDefault="001076D9" w:rsidP="00B9614A">
            <w:pPr>
              <w:pStyle w:val="Tabletext"/>
              <w:jc w:val="center"/>
            </w:pPr>
            <w:r>
              <w:sym w:font="Wingdings" w:char="F0FC"/>
            </w:r>
          </w:p>
        </w:tc>
      </w:tr>
      <w:tr w:rsidR="001076D9" w14:paraId="0D88DF36" w14:textId="77777777" w:rsidTr="00B9614A">
        <w:tc>
          <w:tcPr>
            <w:tcW w:w="0" w:type="auto"/>
            <w:vMerge/>
          </w:tcPr>
          <w:p w14:paraId="41922B48" w14:textId="77777777" w:rsidR="001076D9" w:rsidRDefault="001076D9" w:rsidP="00B9614A">
            <w:pPr>
              <w:pStyle w:val="Tabletext"/>
            </w:pPr>
          </w:p>
        </w:tc>
        <w:tc>
          <w:tcPr>
            <w:tcW w:w="0" w:type="auto"/>
          </w:tcPr>
          <w:p w14:paraId="1F934073" w14:textId="77777777" w:rsidR="001076D9" w:rsidRPr="00EB0857" w:rsidRDefault="001076D9" w:rsidP="00B9614A">
            <w:pPr>
              <w:pStyle w:val="Tabletext"/>
            </w:pPr>
            <w:r>
              <w:t>Heating type</w:t>
            </w:r>
          </w:p>
        </w:tc>
        <w:tc>
          <w:tcPr>
            <w:tcW w:w="0" w:type="auto"/>
          </w:tcPr>
          <w:p w14:paraId="6F1C46B4" w14:textId="77777777" w:rsidR="001076D9" w:rsidRDefault="001076D9" w:rsidP="00B9614A">
            <w:pPr>
              <w:pStyle w:val="Tabletext"/>
            </w:pPr>
            <w:r w:rsidRPr="00EB0857">
              <w:t>Space heating used</w:t>
            </w:r>
          </w:p>
        </w:tc>
        <w:tc>
          <w:tcPr>
            <w:tcW w:w="770" w:type="dxa"/>
          </w:tcPr>
          <w:p w14:paraId="2AD159CF" w14:textId="77777777" w:rsidR="001076D9" w:rsidRDefault="001076D9" w:rsidP="00B9614A">
            <w:pPr>
              <w:pStyle w:val="Tabletext"/>
              <w:jc w:val="center"/>
            </w:pPr>
            <w:r>
              <w:t>B</w:t>
            </w:r>
          </w:p>
        </w:tc>
        <w:tc>
          <w:tcPr>
            <w:tcW w:w="810" w:type="dxa"/>
          </w:tcPr>
          <w:p w14:paraId="3C6F1BC3" w14:textId="77777777" w:rsidR="001076D9" w:rsidRDefault="001076D9" w:rsidP="00B9614A">
            <w:pPr>
              <w:pStyle w:val="Tabletext"/>
              <w:jc w:val="center"/>
            </w:pPr>
            <w:r>
              <w:sym w:font="Wingdings" w:char="F0FC"/>
            </w:r>
          </w:p>
        </w:tc>
      </w:tr>
      <w:tr w:rsidR="001076D9" w14:paraId="3F47AD24" w14:textId="77777777" w:rsidTr="00B9614A">
        <w:tc>
          <w:tcPr>
            <w:tcW w:w="0" w:type="auto"/>
            <w:vMerge/>
          </w:tcPr>
          <w:p w14:paraId="56E7C626" w14:textId="77777777" w:rsidR="001076D9" w:rsidRDefault="001076D9" w:rsidP="00B9614A">
            <w:pPr>
              <w:pStyle w:val="Tabletext"/>
            </w:pPr>
          </w:p>
        </w:tc>
        <w:tc>
          <w:tcPr>
            <w:tcW w:w="0" w:type="auto"/>
          </w:tcPr>
          <w:p w14:paraId="14A98E1A" w14:textId="77777777" w:rsidR="001076D9" w:rsidRDefault="001076D9" w:rsidP="00B9614A">
            <w:pPr>
              <w:pStyle w:val="Tabletext"/>
            </w:pPr>
            <w:r>
              <w:t>Energy insecurity</w:t>
            </w:r>
          </w:p>
        </w:tc>
        <w:tc>
          <w:tcPr>
            <w:tcW w:w="0" w:type="auto"/>
          </w:tcPr>
          <w:p w14:paraId="47BD3D4F" w14:textId="77777777" w:rsidR="001076D9" w:rsidRDefault="001076D9" w:rsidP="00B9614A">
            <w:pPr>
              <w:pStyle w:val="Tabletext"/>
            </w:pPr>
            <w: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1076D9" w:rsidRDefault="001076D9" w:rsidP="00B9614A">
            <w:pPr>
              <w:pStyle w:val="Tabletext"/>
              <w:jc w:val="center"/>
            </w:pPr>
            <w:r>
              <w:t>B</w:t>
            </w:r>
          </w:p>
        </w:tc>
        <w:tc>
          <w:tcPr>
            <w:tcW w:w="810" w:type="dxa"/>
          </w:tcPr>
          <w:p w14:paraId="27E60B2E" w14:textId="77777777" w:rsidR="001076D9" w:rsidRPr="00A4046F" w:rsidRDefault="001076D9" w:rsidP="00B9614A">
            <w:pPr>
              <w:pStyle w:val="Tabletext"/>
              <w:jc w:val="center"/>
            </w:pPr>
          </w:p>
        </w:tc>
      </w:tr>
      <w:tr w:rsidR="001076D9" w14:paraId="2F57B931" w14:textId="77777777" w:rsidTr="00B9614A">
        <w:tc>
          <w:tcPr>
            <w:tcW w:w="0" w:type="auto"/>
            <w:vMerge/>
          </w:tcPr>
          <w:p w14:paraId="3BCA1838" w14:textId="77777777" w:rsidR="001076D9" w:rsidRDefault="001076D9" w:rsidP="00B9614A">
            <w:pPr>
              <w:pStyle w:val="Tabletext"/>
            </w:pPr>
          </w:p>
        </w:tc>
        <w:tc>
          <w:tcPr>
            <w:tcW w:w="0" w:type="auto"/>
          </w:tcPr>
          <w:p w14:paraId="530FE386" w14:textId="77777777" w:rsidR="001076D9" w:rsidRPr="00EB0857" w:rsidRDefault="001076D9" w:rsidP="00B9614A">
            <w:pPr>
              <w:pStyle w:val="Tabletext"/>
            </w:pPr>
            <w:r>
              <w:t>Fans</w:t>
            </w:r>
          </w:p>
        </w:tc>
        <w:tc>
          <w:tcPr>
            <w:tcW w:w="0" w:type="auto"/>
          </w:tcPr>
          <w:p w14:paraId="23987AF3" w14:textId="77777777" w:rsidR="001076D9" w:rsidRPr="00EB0857" w:rsidRDefault="001076D9" w:rsidP="00B9614A">
            <w:pPr>
              <w:pStyle w:val="Tabletext"/>
            </w:pPr>
            <w:r w:rsidRPr="00EB0857">
              <w:t>Number of ceiling</w:t>
            </w:r>
            <w:r>
              <w:t xml:space="preserve">, </w:t>
            </w:r>
            <w:r w:rsidRPr="00EB0857">
              <w:t xml:space="preserve">floor, window, </w:t>
            </w:r>
            <w:r>
              <w:t>and/</w:t>
            </w:r>
            <w:r w:rsidRPr="00EB0857">
              <w:t>or table fans used</w:t>
            </w:r>
          </w:p>
        </w:tc>
        <w:tc>
          <w:tcPr>
            <w:tcW w:w="770" w:type="dxa"/>
          </w:tcPr>
          <w:p w14:paraId="2BB18C01" w14:textId="77777777" w:rsidR="001076D9" w:rsidRDefault="001076D9" w:rsidP="00B9614A">
            <w:pPr>
              <w:pStyle w:val="Tabletext"/>
              <w:jc w:val="center"/>
            </w:pPr>
            <w:r>
              <w:t>N</w:t>
            </w:r>
          </w:p>
        </w:tc>
        <w:tc>
          <w:tcPr>
            <w:tcW w:w="810" w:type="dxa"/>
          </w:tcPr>
          <w:p w14:paraId="5554C007" w14:textId="77777777" w:rsidR="001076D9" w:rsidRDefault="001076D9" w:rsidP="00B9614A">
            <w:pPr>
              <w:pStyle w:val="Tabletext"/>
              <w:jc w:val="center"/>
            </w:pPr>
          </w:p>
        </w:tc>
      </w:tr>
      <w:tr w:rsidR="001076D9" w14:paraId="38D44E96" w14:textId="77777777" w:rsidTr="00B9614A">
        <w:trPr>
          <w:trHeight w:val="56"/>
        </w:trPr>
        <w:tc>
          <w:tcPr>
            <w:tcW w:w="0" w:type="auto"/>
            <w:vMerge/>
          </w:tcPr>
          <w:p w14:paraId="53684ED0" w14:textId="77777777" w:rsidR="001076D9" w:rsidRDefault="001076D9" w:rsidP="00B9614A">
            <w:pPr>
              <w:pStyle w:val="Tabletext"/>
            </w:pPr>
          </w:p>
        </w:tc>
        <w:tc>
          <w:tcPr>
            <w:tcW w:w="0" w:type="auto"/>
          </w:tcPr>
          <w:p w14:paraId="63A45C60" w14:textId="77777777" w:rsidR="001076D9" w:rsidRDefault="001076D9" w:rsidP="00B9614A">
            <w:pPr>
              <w:pStyle w:val="Tabletext"/>
            </w:pPr>
            <w:r>
              <w:t>Off-grid</w:t>
            </w:r>
          </w:p>
        </w:tc>
        <w:tc>
          <w:tcPr>
            <w:tcW w:w="0" w:type="auto"/>
          </w:tcPr>
          <w:p w14:paraId="3378AE69" w14:textId="77777777" w:rsidR="001076D9" w:rsidRPr="00EB0857" w:rsidRDefault="001076D9" w:rsidP="00B9614A">
            <w:pPr>
              <w:pStyle w:val="Tabletext"/>
            </w:pPr>
            <w:r>
              <w:t>Home has back-up generator or on-site solar electricity generation</w:t>
            </w:r>
          </w:p>
        </w:tc>
        <w:tc>
          <w:tcPr>
            <w:tcW w:w="770" w:type="dxa"/>
          </w:tcPr>
          <w:p w14:paraId="37C7BC53" w14:textId="77777777" w:rsidR="001076D9" w:rsidRDefault="001076D9" w:rsidP="00B9614A">
            <w:pPr>
              <w:pStyle w:val="Tabletext"/>
              <w:jc w:val="center"/>
            </w:pPr>
            <w:r>
              <w:t>B</w:t>
            </w:r>
          </w:p>
        </w:tc>
        <w:tc>
          <w:tcPr>
            <w:tcW w:w="810" w:type="dxa"/>
          </w:tcPr>
          <w:p w14:paraId="04908F40" w14:textId="77777777" w:rsidR="001076D9" w:rsidRDefault="001076D9" w:rsidP="00B9614A">
            <w:pPr>
              <w:pStyle w:val="Tabletext"/>
              <w:jc w:val="center"/>
            </w:pPr>
          </w:p>
        </w:tc>
      </w:tr>
    </w:tbl>
    <w:p w14:paraId="6B79B6D4" w14:textId="295364B0" w:rsidR="001076D9" w:rsidRDefault="001076D9" w:rsidP="001076D9">
      <w:pPr>
        <w:pStyle w:val="Tabletext"/>
        <w:spacing w:after="160"/>
      </w:pPr>
      <w:r>
        <w:rPr>
          <w:vertAlign w:val="superscript"/>
        </w:rPr>
        <w:t>a</w:t>
      </w:r>
      <w:r>
        <w:t xml:space="preserve"> Type includes categorical (C), numerical (N), and binary (B)</w:t>
      </w:r>
    </w:p>
    <w:p w14:paraId="27A3FBE2" w14:textId="77777777" w:rsidR="00ED50F0" w:rsidRDefault="00ED50F0" w:rsidP="00ED50F0">
      <w:pPr>
        <w:pStyle w:val="Heading3List"/>
      </w:pPr>
      <w:r>
        <w:lastRenderedPageBreak/>
        <w:t>Building construction</w:t>
      </w:r>
    </w:p>
    <w:p w14:paraId="5902C6F2" w14:textId="77777777" w:rsidR="00ED50F0" w:rsidRDefault="00ED50F0" w:rsidP="00ED50F0">
      <w:r>
        <w:t xml:space="preserve">Building construction represents variables related to the building age and form. As mentioned in Section </w:t>
      </w:r>
      <w:r>
        <w:fldChar w:fldCharType="begin"/>
      </w:r>
      <w:r>
        <w:instrText xml:space="preserve"> REF _Ref150108267 \r \h </w:instrText>
      </w:r>
      <w:r>
        <w:fldChar w:fldCharType="separate"/>
      </w:r>
      <w:r>
        <w:t>1.2</w:t>
      </w:r>
      <w:r>
        <w:fldChar w:fldCharType="end"/>
      </w:r>
      <w:r>
        <w:t xml:space="preserve">, several city and state-level HVI use construction age as a catch-all for other building characteristics </w:t>
      </w:r>
      <w:r>
        <w:fldChar w:fldCharType="begin"/>
      </w:r>
      <w:r>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w:t>
      </w:r>
      <w:proofErr w:type="spellStart"/>
      <w:r w:rsidRPr="00C94FC7">
        <w:t>Rinner</w:t>
      </w:r>
      <w:proofErr w:type="spellEnd"/>
      <w:r w:rsidRPr="00C94FC7">
        <w:t xml:space="preserve"> et al. 2010; </w:t>
      </w:r>
      <w:proofErr w:type="spellStart"/>
      <w:r w:rsidRPr="00C94FC7">
        <w:t>Uejio</w:t>
      </w:r>
      <w:proofErr w:type="spellEnd"/>
      <w:r w:rsidRPr="00C94FC7">
        <w:t xml:space="preserve"> et al. 2011; Nayak et al. 2018)</w:t>
      </w:r>
      <w:r>
        <w:fldChar w:fldCharType="end"/>
      </w:r>
      <w:r>
        <w:t xml:space="preserve">. A building performance simulation study of London dwellings found a significant impact of archetype, a combination of construction age and construction type on overheating risk </w:t>
      </w:r>
      <w:r>
        <w:fldChar w:fldCharType="begin"/>
      </w:r>
      <w:r>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w:t>
      </w:r>
      <w:proofErr w:type="spellStart"/>
      <w:r w:rsidRPr="00E606B8">
        <w:t>Mavrogianni</w:t>
      </w:r>
      <w:proofErr w:type="spellEnd"/>
      <w:r w:rsidRPr="00E606B8">
        <w:t xml:space="preserve"> et al. 2012)</w:t>
      </w:r>
      <w:r>
        <w:fldChar w:fldCharType="end"/>
      </w:r>
      <w:r>
        <w:t xml:space="preserve">. Samuelson et al. </w:t>
      </w:r>
      <w:r>
        <w:fldChar w:fldCharType="begin"/>
      </w:r>
      <w:r>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suggests that detached buildings may be less vulnerable due to a greater potential for exposed walls to exchange heat and more opportunities for cross-ventilation. Similarly, Lomas </w:t>
      </w:r>
      <w:r>
        <w:fldChar w:fldCharType="begin"/>
      </w:r>
      <w:r>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Pr="000732E2">
        <w:t>(Lomas 2021)</w:t>
      </w:r>
      <w:r>
        <w:fldChar w:fldCharType="end"/>
      </w:r>
      <w:r>
        <w:t xml:space="preserve"> singles out flats or apartments because of more limited opportunities for natural ventilation. Mobile or manufactured homes may also increase heat or cold exposure due to poor energy efficiency </w:t>
      </w:r>
      <w:r>
        <w:fldChar w:fldCharType="begin"/>
      </w:r>
      <w:r>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Pr>
          <w:rFonts w:ascii="MS Gothic" w:eastAsia="MS Gothic" w:hAnsi="MS Gothic" w:cs="MS Gothic" w:hint="eastAsia"/>
        </w:rPr>
        <w:instrText>能源政策的当前</w:instrText>
      </w:r>
      <w:r>
        <w:rPr>
          <w:rFonts w:ascii="Microsoft JhengHei" w:eastAsia="Microsoft JhengHei" w:hAnsi="Microsoft JhengHei" w:cs="Microsoft JhengHei" w:hint="eastAsia"/>
        </w:rPr>
        <w:instrText>讨论</w:instrText>
      </w:r>
      <w:r>
        <w:rPr>
          <w:rFonts w:ascii="MS Gothic" w:eastAsia="MS Gothic" w:hAnsi="MS Gothic" w:cs="MS Gothic" w:hint="eastAsia"/>
        </w:rPr>
        <w:instrText>很少承</w:instrText>
      </w:r>
      <w:r>
        <w:rPr>
          <w:rFonts w:ascii="Microsoft JhengHei" w:eastAsia="Microsoft JhengHei" w:hAnsi="Microsoft JhengHei" w:cs="Microsoft JhengHei" w:hint="eastAsia"/>
        </w:rPr>
        <w:instrText>认</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w:instrText>
      </w:r>
      <w:r>
        <w:rPr>
          <w:rFonts w:ascii="Microsoft JhengHei" w:eastAsia="Microsoft JhengHei" w:hAnsi="Microsoft JhengHei" w:cs="Microsoft JhengHei" w:hint="eastAsia"/>
        </w:rPr>
        <w:instrText>问题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种情况使一个家庭</w:instrText>
      </w:r>
      <w:r>
        <w:rPr>
          <w:rFonts w:ascii="Microsoft JhengHei" w:eastAsia="Microsoft JhengHei" w:hAnsi="Microsoft JhengHei" w:cs="Microsoft JhengHei" w:hint="eastAsia"/>
        </w:rPr>
        <w:instrText>负</w:instrText>
      </w:r>
      <w:r>
        <w:rPr>
          <w:rFonts w:ascii="MS Gothic" w:eastAsia="MS Gothic" w:hAnsi="MS Gothic" w:cs="MS Gothic" w:hint="eastAsia"/>
        </w:rPr>
        <w:instrText>担不起家庭所需充分加</w:instrText>
      </w:r>
      <w:r>
        <w:rPr>
          <w:rFonts w:ascii="Microsoft JhengHei" w:eastAsia="Microsoft JhengHei" w:hAnsi="Microsoft JhengHei" w:cs="Microsoft JhengHei" w:hint="eastAsia"/>
        </w:rPr>
        <w:instrText>热</w:instrText>
      </w:r>
      <w:r>
        <w:rPr>
          <w:rFonts w:ascii="MS Gothic" w:eastAsia="MS Gothic" w:hAnsi="MS Gothic" w:cs="MS Gothic" w:hint="eastAsia"/>
        </w:rPr>
        <w:instrText>或冷却的</w:instrText>
      </w:r>
      <w:r>
        <w:rPr>
          <w:rFonts w:ascii="Microsoft JhengHei" w:eastAsia="Microsoft JhengHei" w:hAnsi="Microsoft JhengHei" w:cs="Microsoft JhengHei" w:hint="eastAsia"/>
        </w:rPr>
        <w:instrText>费</w:instrText>
      </w:r>
      <w:r>
        <w:rPr>
          <w:rFonts w:ascii="MS Gothic" w:eastAsia="MS Gothic" w:hAnsi="MS Gothic" w:cs="MS Gothic" w:hint="eastAsia"/>
        </w:rPr>
        <w:instrText>用。在</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篇文章中，我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考察了能源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的概念和描述它在北卡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乡</w:instrText>
      </w:r>
      <w:r>
        <w:rPr>
          <w:rFonts w:ascii="MS Gothic" w:eastAsia="MS Gothic" w:hAnsi="MS Gothic" w:cs="MS Gothic" w:hint="eastAsia"/>
        </w:rPr>
        <w:instrText>村地区的一些</w:instrText>
      </w:r>
      <w:r>
        <w:rPr>
          <w:rFonts w:ascii="Microsoft JhengHei" w:eastAsia="Microsoft JhengHei" w:hAnsi="Microsoft JhengHei" w:cs="Microsoft JhengHei" w:hint="eastAsia"/>
        </w:rPr>
        <w:instrText>轮</w:instrText>
      </w:r>
      <w:r>
        <w:rPr>
          <w:rFonts w:ascii="MS Gothic" w:eastAsia="MS Gothic" w:hAnsi="MS Gothic" w:cs="MS Gothic" w:hint="eastAsia"/>
        </w:rPr>
        <w:instrText>廓。我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，最好被看作是网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物</w:instrText>
      </w:r>
      <w:r>
        <w:rPr>
          <w:rFonts w:ascii="Microsoft JhengHei" w:eastAsia="Microsoft JhengHei" w:hAnsi="Microsoft JhengHei" w:cs="Microsoft JhengHei" w:hint="eastAsia"/>
        </w:rPr>
        <w:instrText>资</w:instrText>
      </w:r>
      <w:r>
        <w:rPr>
          <w:rFonts w:ascii="MS Gothic" w:eastAsia="MS Gothic" w:hAnsi="MS Gothic" w:cs="MS Gothic" w:hint="eastAsia"/>
        </w:rPr>
        <w:instrText>和社会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关系的地理</w:instrText>
      </w:r>
      <w:r>
        <w:rPr>
          <w:rFonts w:ascii="Microsoft JhengHei" w:eastAsia="Microsoft JhengHei" w:hAnsi="Microsoft JhengHei" w:cs="Microsoft JhengHei" w:hint="eastAsia"/>
        </w:rPr>
        <w:instrText>组</w:instrText>
      </w:r>
      <w:r>
        <w:rPr>
          <w:rFonts w:ascii="MS Gothic" w:eastAsia="MS Gothic" w:hAnsi="MS Gothic" w:cs="MS Gothic" w:hint="eastAsia"/>
        </w:rPr>
        <w:instrText>合。</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了</w:instrText>
      </w:r>
      <w:r>
        <w:rPr>
          <w:rFonts w:ascii="Microsoft JhengHei" w:eastAsia="Microsoft JhengHei" w:hAnsi="Microsoft JhengHei" w:cs="Microsoft JhengHei" w:hint="eastAsia"/>
        </w:rPr>
        <w:instrText>说</w:instrText>
      </w:r>
      <w:r>
        <w:rPr>
          <w:rFonts w:ascii="MS Gothic" w:eastAsia="MS Gothic" w:hAnsi="MS Gothic" w:cs="MS Gothic" w:hint="eastAsia"/>
        </w:rPr>
        <w:instrText>明</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种方法，我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着重于北卡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东</w:instrText>
      </w:r>
      <w:r>
        <w:rPr>
          <w:rFonts w:ascii="MS Gothic" w:eastAsia="MS Gothic" w:hAnsi="MS Gothic" w:cs="MS Gothic" w:hint="eastAsia"/>
        </w:rPr>
        <w:instrText>部的能源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困的三个关</w:instrText>
      </w:r>
      <w:r>
        <w:rPr>
          <w:rFonts w:ascii="Microsoft JhengHei" w:eastAsia="Microsoft JhengHei" w:hAnsi="Microsoft JhengHei" w:cs="Microsoft JhengHei" w:hint="eastAsia"/>
        </w:rPr>
        <w:instrText>键</w:instrText>
      </w:r>
      <w:r>
        <w:rPr>
          <w:rFonts w:ascii="MS Gothic" w:eastAsia="MS Gothic" w:hAnsi="MS Gothic" w:cs="MS Gothic" w:hint="eastAsia"/>
        </w:rPr>
        <w:instrText>因素的地理格局：</w:instrText>
      </w:r>
      <w:r>
        <w:rPr>
          <w:rFonts w:ascii="Microsoft JhengHei" w:eastAsia="Microsoft JhengHei" w:hAnsi="Microsoft JhengHei" w:cs="Microsoft JhengHei" w:hint="eastAsia"/>
        </w:rPr>
        <w:instrText>农</w:instrText>
      </w:r>
      <w:r>
        <w:rPr>
          <w:rFonts w:ascii="MS Gothic" w:eastAsia="MS Gothic" w:hAnsi="MS Gothic" w:cs="MS Gothic" w:hint="eastAsia"/>
        </w:rPr>
        <w:instrText>村家庭的杜会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特点，能源供</w:instrText>
      </w:r>
      <w:r>
        <w:rPr>
          <w:rFonts w:ascii="Microsoft JhengHei" w:eastAsia="Microsoft JhengHei" w:hAnsi="Microsoft JhengHei" w:cs="Microsoft JhengHei" w:hint="eastAsia"/>
        </w:rPr>
        <w:instrText>应</w:instrText>
      </w:r>
      <w:r>
        <w:rPr>
          <w:rFonts w:ascii="MS Gothic" w:eastAsia="MS Gothic" w:hAnsi="MS Gothic" w:cs="MS Gothic" w:hint="eastAsia"/>
        </w:rPr>
        <w:instrText>的网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基</w:instrText>
      </w:r>
      <w:r>
        <w:rPr>
          <w:rFonts w:ascii="Microsoft JhengHei" w:eastAsia="Microsoft JhengHei" w:hAnsi="Microsoft JhengHei" w:cs="Microsoft JhengHei" w:hint="eastAsia"/>
        </w:rPr>
        <w:instrText>础设</w:instrText>
      </w:r>
      <w:r>
        <w:rPr>
          <w:rFonts w:ascii="MS Gothic" w:eastAsia="MS Gothic" w:hAnsi="MS Gothic" w:cs="MS Gothic" w:hint="eastAsia"/>
        </w:rPr>
        <w:instrText>施，以及家庭的物</w:instrText>
      </w:r>
      <w:r>
        <w:rPr>
          <w:rFonts w:ascii="Microsoft JhengHei" w:eastAsia="Microsoft JhengHei" w:hAnsi="Microsoft JhengHei" w:cs="Microsoft JhengHei" w:hint="eastAsia"/>
        </w:rPr>
        <w:instrText>质</w:instrText>
      </w:r>
      <w:r>
        <w:rPr>
          <w:rFonts w:ascii="MS Gothic" w:eastAsia="MS Gothic" w:hAnsi="MS Gothic" w:cs="MS Gothic" w:hint="eastAsia"/>
        </w:rPr>
        <w:instrText>条件。自始至</w:instrText>
      </w:r>
      <w:r>
        <w:rPr>
          <w:rFonts w:ascii="Microsoft JhengHei" w:eastAsia="Microsoft JhengHei" w:hAnsi="Microsoft JhengHei" w:cs="Microsoft JhengHei" w:hint="eastAsia"/>
        </w:rPr>
        <w:instrText>终</w:instrText>
      </w:r>
      <w:r>
        <w:rPr>
          <w:rFonts w:ascii="MS Gothic" w:eastAsia="MS Gothic" w:hAnsi="MS Gothic" w:cs="MS Gothic" w:hint="eastAsia"/>
        </w:rPr>
        <w:instrText>，我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通</w:instrText>
      </w:r>
      <w:r>
        <w:rPr>
          <w:rFonts w:ascii="Microsoft JhengHei" w:eastAsia="Microsoft JhengHei" w:hAnsi="Microsoft JhengHei" w:cs="Microsoft JhengHei" w:hint="eastAsia"/>
        </w:rPr>
        <w:instrText>过</w:instrText>
      </w:r>
      <w:r>
        <w:rPr>
          <w:rFonts w:ascii="MS Gothic" w:eastAsia="MS Gothic" w:hAnsi="MS Gothic" w:cs="MS Gothic" w:hint="eastAsia"/>
        </w:rPr>
        <w:instrText>借</w:instrText>
      </w:r>
      <w:r>
        <w:rPr>
          <w:rFonts w:ascii="Microsoft JhengHei" w:eastAsia="Microsoft JhengHei" w:hAnsi="Microsoft JhengHei" w:cs="Microsoft JhengHei" w:hint="eastAsia"/>
        </w:rPr>
        <w:instrText>鉴对该</w:instrText>
      </w:r>
      <w:r>
        <w:rPr>
          <w:rFonts w:ascii="MS Gothic" w:eastAsia="MS Gothic" w:hAnsi="MS Gothic" w:cs="MS Gothic" w:hint="eastAsia"/>
        </w:rPr>
        <w:instrText>地区防寒保暖援助受惠人的采</w:instrText>
      </w:r>
      <w:r>
        <w:rPr>
          <w:rFonts w:ascii="Microsoft JhengHei" w:eastAsia="Microsoft JhengHei" w:hAnsi="Microsoft JhengHei" w:cs="Microsoft JhengHei" w:hint="eastAsia"/>
        </w:rPr>
        <w:instrText>访记录</w:instrText>
      </w:r>
      <w:r>
        <w:rPr>
          <w:rFonts w:ascii="MS Gothic" w:eastAsia="MS Gothic" w:hAnsi="MS Gothic" w:cs="MS Gothic" w:hint="eastAsia"/>
        </w:rPr>
        <w:instrText>，</w:instrText>
      </w:r>
      <w:r>
        <w:rPr>
          <w:rFonts w:ascii="Yu Gothic" w:eastAsia="Yu Gothic" w:hAnsi="Yu Gothic" w:cs="Yu Gothic" w:hint="eastAsia"/>
        </w:rPr>
        <w:instrText>强</w:instrText>
      </w:r>
      <w:r>
        <w:rPr>
          <w:rFonts w:ascii="Microsoft JhengHei" w:eastAsia="Microsoft JhengHei" w:hAnsi="Microsoft JhengHei" w:cs="Microsoft JhengHei" w:hint="eastAsia"/>
        </w:rPr>
        <w:instrText>调</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困的生活影响。我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的挑</w:instrText>
      </w:r>
      <w:r>
        <w:rPr>
          <w:rFonts w:ascii="Microsoft JhengHei" w:eastAsia="Microsoft JhengHei" w:hAnsi="Microsoft JhengHei" w:cs="Microsoft JhengHei" w:hint="eastAsia"/>
        </w:rPr>
        <w:instrText>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应该</w:instrText>
      </w:r>
      <w:r>
        <w:rPr>
          <w:rFonts w:ascii="MS Gothic" w:eastAsia="MS Gothic" w:hAnsi="MS Gothic" w:cs="MS Gothic" w:hint="eastAsia"/>
        </w:rPr>
        <w:instrText>在公共政策中，和作</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福利和关</w:instrText>
      </w:r>
      <w:r>
        <w:rPr>
          <w:rFonts w:ascii="Microsoft JhengHei" w:eastAsia="Microsoft JhengHei" w:hAnsi="Microsoft JhengHei" w:cs="Microsoft JhengHei" w:hint="eastAsia"/>
        </w:rPr>
        <w:instrText>怀</w:instrText>
      </w:r>
      <w:r>
        <w:rPr>
          <w:rFonts w:ascii="MS Gothic" w:eastAsia="MS Gothic" w:hAnsi="MS Gothic" w:cs="MS Gothic" w:hint="eastAsia"/>
        </w:rPr>
        <w:instrText>的更广泛的理解的一部分，得到更多的关注。</w:instrText>
      </w:r>
      <w:r>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fldChar w:fldCharType="separate"/>
      </w:r>
      <w:r>
        <w:rPr>
          <w:noProof/>
        </w:rPr>
        <w:t>(Harrison and Popke 2011)</w:t>
      </w:r>
      <w:r>
        <w:fldChar w:fldCharType="end"/>
      </w:r>
      <w:r>
        <w:t xml:space="preserve">, an issue common in even newer mobile homes </w:t>
      </w:r>
      <w:r>
        <w:fldChar w:fldCharType="begin"/>
      </w:r>
      <w:r>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fldChar w:fldCharType="separate"/>
      </w:r>
      <w:r>
        <w:rPr>
          <w:noProof/>
        </w:rPr>
        <w:t>(Hart et al. 2002)</w:t>
      </w:r>
      <w:r>
        <w:fldChar w:fldCharType="end"/>
      </w:r>
      <w:r>
        <w:t xml:space="preserve">. </w:t>
      </w:r>
    </w:p>
    <w:p w14:paraId="5A971472" w14:textId="77777777" w:rsidR="00ED50F0" w:rsidRDefault="00ED50F0" w:rsidP="00ED50F0">
      <w:pPr>
        <w:pStyle w:val="Heading3List"/>
      </w:pPr>
      <w:r>
        <w:t>Building envelope</w:t>
      </w:r>
    </w:p>
    <w:p w14:paraId="70F82DC8" w14:textId="77777777" w:rsidR="00ED50F0" w:rsidRDefault="00ED50F0" w:rsidP="00ED50F0">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w:t>
      </w:r>
      <w:proofErr w:type="spellStart"/>
      <w:r w:rsidRPr="00543F50">
        <w:t>Mavrogianni</w:t>
      </w:r>
      <w:proofErr w:type="spellEnd"/>
      <w:r w:rsidRPr="00543F50">
        <w:t xml:space="preserve"> et al. 2012; Porritt et al. 2012)</w:t>
      </w:r>
      <w:r>
        <w:fldChar w:fldCharType="end"/>
      </w:r>
      <w:r>
        <w:t xml:space="preserve">. Porritt et al. </w:t>
      </w:r>
      <w:r>
        <w:fldChar w:fldCharType="begin"/>
      </w:r>
      <w:r>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One HVI considered houses with thermally massive materials to have greater adaptive capacity </w:t>
      </w:r>
      <w:r>
        <w:fldChar w:fldCharType="begin"/>
      </w:r>
      <w:r>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fldChar w:fldCharType="separate"/>
      </w:r>
      <w:r w:rsidRPr="004F65CD">
        <w:t>(</w:t>
      </w:r>
      <w:proofErr w:type="spellStart"/>
      <w:r w:rsidRPr="004F65CD">
        <w:t>Inostroza</w:t>
      </w:r>
      <w:proofErr w:type="spellEnd"/>
      <w:r w:rsidRPr="004F65CD">
        <w:t>, Palme, and de la Barrera 2016)</w:t>
      </w:r>
      <w:r>
        <w:fldChar w:fldCharType="end"/>
      </w:r>
      <w:r>
        <w:t xml:space="preserve">. Thermal mass describes building materials with high heat capacity, such as brick, stone, and concrete, which can buffer temperature fluctuations. </w:t>
      </w:r>
    </w:p>
    <w:p w14:paraId="7C013FB9" w14:textId="77777777" w:rsidR="00ED50F0" w:rsidRDefault="00ED50F0" w:rsidP="00ED50F0">
      <w:pPr>
        <w:pStyle w:val="Heading3List"/>
      </w:pPr>
      <w:r>
        <w:t>Building HVAC</w:t>
      </w:r>
    </w:p>
    <w:p w14:paraId="432CF06C" w14:textId="6A3833D7" w:rsidR="001076D9" w:rsidRDefault="00ED50F0" w:rsidP="001076D9">
      <w:r>
        <w:t xml:space="preserve">Building HVAC characteristics describe the presence </w:t>
      </w:r>
      <w:r>
        <w:fldChar w:fldCharType="begin"/>
      </w:r>
      <w:r>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w:t>
      </w:r>
      <w:proofErr w:type="spellStart"/>
      <w:r w:rsidRPr="000B41BF">
        <w:t>Curriero</w:t>
      </w:r>
      <w:proofErr w:type="spellEnd"/>
      <w:r w:rsidRPr="000B41BF">
        <w:t xml:space="preserve"> et al. 2002)</w:t>
      </w:r>
      <w:r>
        <w:fldChar w:fldCharType="end"/>
      </w:r>
      <w:r>
        <w:t xml:space="preserve">, type </w:t>
      </w:r>
      <w:r>
        <w:fldChar w:fldCharType="begin"/>
      </w:r>
      <w:r>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 xml:space="preserve">(O’Neill, </w:t>
      </w:r>
      <w:proofErr w:type="spellStart"/>
      <w:r w:rsidRPr="00D277FA">
        <w:rPr>
          <w:rFonts w:cs="Times New Roman"/>
          <w:szCs w:val="24"/>
        </w:rPr>
        <w:t>Zanobetti</w:t>
      </w:r>
      <w:proofErr w:type="spellEnd"/>
      <w:r w:rsidRPr="00D277FA">
        <w:rPr>
          <w:rFonts w:cs="Times New Roman"/>
          <w:szCs w:val="24"/>
        </w:rPr>
        <w:t>, and Schwartz 2005)</w:t>
      </w:r>
      <w:r>
        <w:fldChar w:fldCharType="end"/>
      </w:r>
      <w:r>
        <w:t xml:space="preserve">, and functionality </w:t>
      </w:r>
      <w:r>
        <w:fldChar w:fldCharType="begin"/>
      </w:r>
      <w:r>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50°C and 10% relative humidity </w:t>
      </w:r>
      <w:r>
        <w:fldChar w:fldCharType="begin"/>
      </w:r>
      <w:r>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Finally, we also consider availability of alternate power sources such as a back-up generator or on-site solar panels as they may reduce interruptions to HVAC systems</w:t>
      </w:r>
      <w:r w:rsidR="001076D9">
        <w:t>.</w:t>
      </w:r>
    </w:p>
    <w:p w14:paraId="5797D661" w14:textId="1E5F1E15" w:rsidR="002023F5" w:rsidRDefault="008D0432" w:rsidP="00EE070C">
      <w:pPr>
        <w:pStyle w:val="Heading2List"/>
      </w:pPr>
      <w:bookmarkStart w:id="5" w:name="_Ref151994837"/>
      <w:bookmarkEnd w:id="3"/>
      <w:bookmarkEnd w:id="4"/>
      <w:r>
        <w:t>Machine learning</w:t>
      </w:r>
      <w:bookmarkEnd w:id="5"/>
    </w:p>
    <w:p w14:paraId="10B093CE" w14:textId="52B48A88" w:rsidR="001076D9" w:rsidRDefault="00523EC3" w:rsidP="00523EC3">
      <w:r>
        <w:t>We used machine learning to predict the occurrence of a temperature-related morbidity event, which we treated as a binary classification problem</w:t>
      </w:r>
      <w:r w:rsidR="009F6370">
        <w:t xml:space="preserve"> since the RECS survey is coded as a yes or no response</w:t>
      </w:r>
      <w:r>
        <w:t xml:space="preserve">. The input features for the machine learning model are the building and occupant characteristics described in </w:t>
      </w:r>
      <w:r>
        <w:fldChar w:fldCharType="begin"/>
      </w:r>
      <w:r>
        <w:instrText xml:space="preserve"> REF _Ref151582921 \h </w:instrText>
      </w:r>
      <w:r>
        <w:fldChar w:fldCharType="separate"/>
      </w:r>
      <w:r>
        <w:t xml:space="preserve">Table </w:t>
      </w:r>
      <w:r>
        <w:rPr>
          <w:noProof/>
        </w:rPr>
        <w:t>2</w:t>
      </w:r>
      <w:r>
        <w:fldChar w:fldCharType="end"/>
      </w:r>
      <w:r>
        <w:t>. We compare model accuracy between a “Baseline” model, which represents input features typical of a HVI i.e. no information about the building and a model with detailed information about the building construction, envelope, and HVAC systems.</w:t>
      </w:r>
      <w:r w:rsidR="00490E0F">
        <w:t xml:space="preserve"> </w:t>
      </w:r>
    </w:p>
    <w:p w14:paraId="4D3B5978" w14:textId="68D5104F" w:rsidR="00523EC3" w:rsidRDefault="00523EC3" w:rsidP="00523EC3">
      <w:r>
        <w:t xml:space="preserve">We know from </w:t>
      </w:r>
      <w:r>
        <w:fldChar w:fldCharType="begin"/>
      </w:r>
      <w:r>
        <w:instrText xml:space="preserve"> REF _Ref80686156 \h </w:instrText>
      </w:r>
      <w:r>
        <w:fldChar w:fldCharType="separate"/>
      </w:r>
      <w:r>
        <w:t xml:space="preserve">Table </w:t>
      </w:r>
      <w:r>
        <w:rPr>
          <w:noProof/>
        </w:rPr>
        <w:t>1</w:t>
      </w:r>
      <w:r>
        <w:fldChar w:fldCharType="end"/>
      </w:r>
      <w:r>
        <w:t xml:space="preserve"> that there is an extreme imbalanc</w:t>
      </w:r>
      <w:r w:rsidR="00313C42">
        <w:t>e in the RECS data</w:t>
      </w:r>
      <w:r w:rsidR="00FD133A">
        <w:t xml:space="preserve"> </w:t>
      </w:r>
      <w:r w:rsidR="009F6370">
        <w:t>–</w:t>
      </w:r>
      <w:r w:rsidR="00FD133A">
        <w:t xml:space="preserve"> </w:t>
      </w:r>
      <w:r w:rsidR="009F6370">
        <w:t>less than 1% of all households experienced temperature-related morbidity</w:t>
      </w:r>
      <w:r>
        <w:t xml:space="preserve">. </w:t>
      </w:r>
      <w:r w:rsidR="00313C42">
        <w:t>This</w:t>
      </w:r>
      <w:r w:rsidR="00FD133A">
        <w:t xml:space="preserve"> imbalance is problematic because a naïve model that always predicts </w:t>
      </w:r>
      <w:r w:rsidR="00313C42">
        <w:t>the majority class,</w:t>
      </w:r>
      <w:r w:rsidR="009F6370">
        <w:t xml:space="preserve"> i.e.</w:t>
      </w:r>
      <w:r w:rsidR="00313C42">
        <w:t xml:space="preserve"> no temperature-related morbidity,</w:t>
      </w:r>
      <w:r w:rsidR="00FD133A">
        <w:t xml:space="preserve"> will have a high accuracy, 99% in this case, but </w:t>
      </w:r>
      <w:r w:rsidR="004D258B">
        <w:t>will fail to predict any observations in the min</w:t>
      </w:r>
      <w:r w:rsidR="00313C42">
        <w:t xml:space="preserve">ority class, </w:t>
      </w:r>
      <w:r w:rsidR="009F6370">
        <w:t xml:space="preserve">or </w:t>
      </w:r>
      <w:r w:rsidR="00313C42">
        <w:t>occurrence of temperature-related morbidity</w:t>
      </w:r>
      <w:r w:rsidR="00FD133A">
        <w:t xml:space="preserve">.  </w:t>
      </w:r>
      <w:r w:rsidR="00FD133A">
        <w:t>Imbalanced data is</w:t>
      </w:r>
      <w:r w:rsidR="00313C42">
        <w:t xml:space="preserve"> </w:t>
      </w:r>
      <w:r w:rsidR="009F6370">
        <w:t xml:space="preserve">a common issue </w:t>
      </w:r>
      <w:r w:rsidR="005010F8">
        <w:t xml:space="preserve">in </w:t>
      </w:r>
      <w:r w:rsidR="00FD133A">
        <w:t xml:space="preserve">other domains </w:t>
      </w:r>
      <w:r w:rsidR="00FD133A">
        <w:lastRenderedPageBreak/>
        <w:t>such as disease diagnosis, customer churn prediction, and fraud detection</w:t>
      </w:r>
      <w:r w:rsidR="00FD133A">
        <w:t>. As in our case, imbalanced data problems generally have a high cost associated with failure to predict the minority class.</w:t>
      </w:r>
      <w:r w:rsidR="00313C42">
        <w:t xml:space="preserve"> </w:t>
      </w:r>
      <w:r w:rsidR="009F6370">
        <w:t>We employ several techniques in the machine learning model building process to address the imbalanced data</w:t>
      </w:r>
      <w:r w:rsidR="002236F4">
        <w:t xml:space="preserve"> </w:t>
      </w:r>
      <w:r w:rsidR="00C41E03">
        <w:fldChar w:fldCharType="begin"/>
      </w:r>
      <w:r w:rsidR="00C41E03">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fldChar w:fldCharType="separate"/>
      </w:r>
      <w:r w:rsidR="00C41E03">
        <w:rPr>
          <w:noProof/>
        </w:rPr>
        <w:t>(He and Garcia 2009; Kaur, Pannu, and Malhi 2019; Krawczyk 2016)</w:t>
      </w:r>
      <w:r w:rsidR="00C41E03">
        <w:fldChar w:fldCharType="end"/>
      </w:r>
      <w:r w:rsidR="009F6370">
        <w:t xml:space="preserve">. </w:t>
      </w:r>
    </w:p>
    <w:p w14:paraId="572E88DE" w14:textId="226B46D4" w:rsidR="001076D9" w:rsidRDefault="001076D9" w:rsidP="001076D9">
      <w:pPr>
        <w:spacing w:before="240"/>
      </w:pPr>
      <w:r>
        <w:t>We first pre-processed the data set to remove</w:t>
      </w:r>
      <w:r>
        <w:t xml:space="preserve"> variables with </w:t>
      </w:r>
      <w:r>
        <w:t>zero or near-zero frequency. These variables can negatively impact model performance as there may not be sufficient variation in</w:t>
      </w:r>
      <w:r w:rsidR="00987E42">
        <w:t xml:space="preserve"> after the data is subdivided</w:t>
      </w:r>
      <w:r>
        <w:t>. This step removed the variable for large households and pays utility and/or fuel. We also checked for highly correlated variables and linear combinations, but no variable met the threshold for removal. We then</w:t>
      </w:r>
      <w:r>
        <w:t xml:space="preserve"> standardized input variables to have zero mean and unit variance. </w:t>
      </w:r>
      <w:r w:rsidR="008F31B5">
        <w:t xml:space="preserve">This step prevents variables with larger numerical quantities from having undue influence, particularly in regression-based modeling methods. </w:t>
      </w:r>
    </w:p>
    <w:p w14:paraId="5D0829C6" w14:textId="3E02C842" w:rsidR="001076D9" w:rsidRDefault="008019A8" w:rsidP="00523EC3">
      <w:r>
        <w:t>W</w:t>
      </w:r>
      <w:r w:rsidR="009F6370">
        <w:t xml:space="preserve">e </w:t>
      </w:r>
      <w:r w:rsidR="001076D9">
        <w:t xml:space="preserve">then </w:t>
      </w:r>
      <w:r w:rsidR="009F6370">
        <w:t>split the RECS dataset into training and test data, using 80% for training and holding 20% for testing</w:t>
      </w:r>
      <w:r>
        <w:t>, which prevents overfitting</w:t>
      </w:r>
      <w:r w:rsidR="009F6370">
        <w:t>.</w:t>
      </w:r>
      <w:r w:rsidR="009F6370">
        <w:t xml:space="preserve"> </w:t>
      </w:r>
      <w:r w:rsidR="00D34EA6">
        <w:t>We bootstrapped</w:t>
      </w:r>
      <w:r w:rsidR="00D46F7C">
        <w:t xml:space="preserve"> </w:t>
      </w:r>
      <w:r w:rsidR="00D34EA6">
        <w:t xml:space="preserve">this process </w:t>
      </w:r>
      <w:r w:rsidR="00D46F7C">
        <w:t xml:space="preserve">with </w:t>
      </w:r>
      <w:r w:rsidR="00D65675">
        <w:t>100</w:t>
      </w:r>
      <w:r w:rsidR="00D46F7C">
        <w:t xml:space="preserve"> iterations </w:t>
      </w:r>
      <w:r w:rsidR="00D34EA6">
        <w:t xml:space="preserve">to quantify the </w:t>
      </w:r>
      <w:r>
        <w:t>sensitivity of model performance to the training data split</w:t>
      </w:r>
      <w:r w:rsidR="00D34EA6">
        <w:t>. For each training and test split, w</w:t>
      </w:r>
      <w:r w:rsidR="009F6370">
        <w:t xml:space="preserve">e then used 5-fold cross validation repeated </w:t>
      </w:r>
      <w:r w:rsidR="009F6370">
        <w:t>5</w:t>
      </w:r>
      <w:r w:rsidR="009F6370">
        <w:t xml:space="preserve"> times to further split the training data into training and validation sets </w:t>
      </w:r>
      <w:r w:rsidR="00D34EA6">
        <w:t>for selecting</w:t>
      </w:r>
      <w:r w:rsidR="009F6370">
        <w:t xml:space="preserve"> </w:t>
      </w:r>
      <w:r>
        <w:t xml:space="preserve">machine learning </w:t>
      </w:r>
      <w:r w:rsidR="009F6370">
        <w:t xml:space="preserve">model hyperparameters. </w:t>
      </w:r>
    </w:p>
    <w:p w14:paraId="339984E6" w14:textId="0168FF50" w:rsidR="00465584" w:rsidRDefault="00C41E03" w:rsidP="00523EC3">
      <w:r>
        <w:t xml:space="preserve">We compared performance from several machine learning algorithms, listed in </w:t>
      </w:r>
      <w:r>
        <w:fldChar w:fldCharType="begin"/>
      </w:r>
      <w:r>
        <w:instrText xml:space="preserve"> REF _Ref151653801 \h </w:instrText>
      </w:r>
      <w:r>
        <w:fldChar w:fldCharType="separate"/>
      </w:r>
      <w:r>
        <w:t xml:space="preserve">Table </w:t>
      </w:r>
      <w:r>
        <w:rPr>
          <w:noProof/>
        </w:rPr>
        <w:t>3</w:t>
      </w:r>
      <w:r>
        <w:fldChar w:fldCharType="end"/>
      </w:r>
      <w:r w:rsidR="00490E0F">
        <w:t xml:space="preserve">. </w:t>
      </w:r>
      <w:r w:rsidR="00490E0F">
        <w:t>These algorithms vary in their underlying structure and assumptions about input features, allowing us to account for potential modeling issues like correlation between input features.</w:t>
      </w:r>
      <w:r w:rsidR="00490E0F">
        <w:t xml:space="preserve">  We selected these algorithms because of their ability to accept c</w:t>
      </w:r>
      <w:r w:rsidR="004D224D">
        <w:t>lass</w:t>
      </w:r>
      <w:r w:rsidR="00490E0F">
        <w:t xml:space="preserve"> weights</w:t>
      </w:r>
      <w:r w:rsidR="006E4BA2">
        <w:t xml:space="preserve"> and </w:t>
      </w:r>
      <w:r w:rsidR="00490E0F">
        <w:t xml:space="preserve">availability of a model-specific variable importance metric. </w:t>
      </w:r>
      <w:r w:rsidR="004D224D">
        <w:t>We applied an exhaustive grid search to find the best performing hyperparameter settings for each machine learning algorithm.</w:t>
      </w:r>
    </w:p>
    <w:p w14:paraId="08DE8485" w14:textId="77777777" w:rsidR="005C0AEB" w:rsidRDefault="005C0AEB" w:rsidP="005C0AEB">
      <w:pPr>
        <w:pStyle w:val="Figurecaption"/>
      </w:pPr>
      <w:bookmarkStart w:id="6" w:name="_Ref151653801"/>
      <w:r>
        <w:t xml:space="preserve">Table </w:t>
      </w:r>
      <w:r>
        <w:fldChar w:fldCharType="begin"/>
      </w:r>
      <w:r>
        <w:instrText xml:space="preserve"> SEQ Table \* ARABIC </w:instrText>
      </w:r>
      <w:r>
        <w:fldChar w:fldCharType="separate"/>
      </w:r>
      <w:r>
        <w:rPr>
          <w:noProof/>
        </w:rPr>
        <w:t>3</w:t>
      </w:r>
      <w:r>
        <w:fldChar w:fldCharType="end"/>
      </w:r>
      <w:bookmarkEnd w:id="6"/>
      <w:r>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9"/>
        <w:gridCol w:w="1983"/>
        <w:gridCol w:w="2411"/>
        <w:gridCol w:w="1672"/>
      </w:tblGrid>
      <w:tr w:rsidR="005C0AEB" w:rsidRPr="00D46F7C" w14:paraId="5FDFA7A5" w14:textId="77777777" w:rsidTr="00B9614A">
        <w:tc>
          <w:tcPr>
            <w:tcW w:w="0" w:type="auto"/>
            <w:tcBorders>
              <w:top w:val="single" w:sz="4" w:space="0" w:color="E7E6E6" w:themeColor="background2"/>
              <w:bottom w:val="single" w:sz="4" w:space="0" w:color="E7E6E6" w:themeColor="background2"/>
            </w:tcBorders>
          </w:tcPr>
          <w:p w14:paraId="5B8E8FF2" w14:textId="77777777" w:rsidR="005C0AEB" w:rsidRPr="00D46F7C" w:rsidRDefault="005C0AEB" w:rsidP="00B9614A">
            <w:pPr>
              <w:rPr>
                <w:b/>
                <w:bCs/>
                <w:sz w:val="18"/>
                <w:szCs w:val="18"/>
              </w:rPr>
            </w:pPr>
            <w:r>
              <w:rPr>
                <w:b/>
                <w:bCs/>
                <w:sz w:val="18"/>
                <w:szCs w:val="18"/>
              </w:rPr>
              <w:t>Algorithm</w:t>
            </w:r>
          </w:p>
        </w:tc>
        <w:tc>
          <w:tcPr>
            <w:tcW w:w="0" w:type="auto"/>
            <w:tcBorders>
              <w:top w:val="single" w:sz="4" w:space="0" w:color="E7E6E6" w:themeColor="background2"/>
              <w:bottom w:val="single" w:sz="4" w:space="0" w:color="E7E6E6" w:themeColor="background2"/>
            </w:tcBorders>
          </w:tcPr>
          <w:p w14:paraId="07352882" w14:textId="77777777" w:rsidR="005C0AEB" w:rsidRPr="00D46F7C" w:rsidRDefault="005C0AEB" w:rsidP="00B9614A">
            <w:pPr>
              <w:rPr>
                <w:b/>
                <w:bCs/>
                <w:sz w:val="18"/>
                <w:szCs w:val="18"/>
              </w:rPr>
            </w:pPr>
            <w:r>
              <w:rPr>
                <w:b/>
                <w:bCs/>
                <w:sz w:val="18"/>
                <w:szCs w:val="18"/>
              </w:rPr>
              <w:t>Type</w:t>
            </w:r>
          </w:p>
        </w:tc>
        <w:tc>
          <w:tcPr>
            <w:tcW w:w="0" w:type="auto"/>
            <w:tcBorders>
              <w:top w:val="single" w:sz="4" w:space="0" w:color="E7E6E6" w:themeColor="background2"/>
              <w:bottom w:val="single" w:sz="4" w:space="0" w:color="E7E6E6" w:themeColor="background2"/>
            </w:tcBorders>
          </w:tcPr>
          <w:p w14:paraId="1D5FC4CB" w14:textId="77777777" w:rsidR="005C0AEB" w:rsidRPr="00D46F7C" w:rsidRDefault="005C0AEB" w:rsidP="00B9614A">
            <w:pPr>
              <w:rPr>
                <w:b/>
                <w:bCs/>
                <w:sz w:val="18"/>
                <w:szCs w:val="18"/>
              </w:rPr>
            </w:pPr>
            <w:r w:rsidRPr="00D46F7C">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5C0AEB" w:rsidRPr="00D46F7C" w:rsidRDefault="005C0AEB" w:rsidP="00B9614A">
            <w:pPr>
              <w:rPr>
                <w:b/>
                <w:bCs/>
                <w:sz w:val="18"/>
                <w:szCs w:val="18"/>
              </w:rPr>
            </w:pPr>
            <w:r w:rsidRPr="00D46F7C">
              <w:rPr>
                <w:b/>
                <w:bCs/>
                <w:sz w:val="18"/>
                <w:szCs w:val="18"/>
              </w:rPr>
              <w:t>R implementation</w:t>
            </w:r>
          </w:p>
        </w:tc>
      </w:tr>
      <w:tr w:rsidR="005C0AEB" w:rsidRPr="00D46F7C" w14:paraId="204F8B16" w14:textId="77777777" w:rsidTr="00B9614A">
        <w:tc>
          <w:tcPr>
            <w:tcW w:w="0" w:type="auto"/>
            <w:tcBorders>
              <w:top w:val="single" w:sz="4" w:space="0" w:color="E7E6E6" w:themeColor="background2"/>
            </w:tcBorders>
          </w:tcPr>
          <w:p w14:paraId="222F5350" w14:textId="77777777" w:rsidR="005C0AEB" w:rsidRPr="00D46F7C" w:rsidRDefault="005C0AEB" w:rsidP="00B9614A">
            <w:pPr>
              <w:rPr>
                <w:sz w:val="18"/>
                <w:szCs w:val="18"/>
              </w:rPr>
            </w:pPr>
            <w:r w:rsidRPr="00D46F7C">
              <w:rPr>
                <w:sz w:val="18"/>
                <w:szCs w:val="18"/>
              </w:rPr>
              <w:t>Generalized linear model</w:t>
            </w:r>
          </w:p>
        </w:tc>
        <w:tc>
          <w:tcPr>
            <w:tcW w:w="0" w:type="auto"/>
            <w:tcBorders>
              <w:top w:val="single" w:sz="4" w:space="0" w:color="E7E6E6" w:themeColor="background2"/>
            </w:tcBorders>
          </w:tcPr>
          <w:p w14:paraId="0C9BECE5" w14:textId="77777777" w:rsidR="005C0AEB" w:rsidRPr="00D46F7C" w:rsidRDefault="005C0AEB" w:rsidP="00B9614A">
            <w:pPr>
              <w:rPr>
                <w:sz w:val="18"/>
                <w:szCs w:val="18"/>
              </w:rPr>
            </w:pPr>
            <w:r w:rsidRPr="00D46F7C">
              <w:rPr>
                <w:sz w:val="18"/>
                <w:szCs w:val="18"/>
              </w:rPr>
              <w:t>Regression</w:t>
            </w:r>
          </w:p>
        </w:tc>
        <w:tc>
          <w:tcPr>
            <w:tcW w:w="0" w:type="auto"/>
            <w:tcBorders>
              <w:top w:val="single" w:sz="4" w:space="0" w:color="E7E6E6" w:themeColor="background2"/>
            </w:tcBorders>
          </w:tcPr>
          <w:p w14:paraId="54DBD5F2" w14:textId="77777777" w:rsidR="005C0AEB" w:rsidRPr="00D46F7C" w:rsidRDefault="005C0AEB" w:rsidP="00B9614A">
            <w:pPr>
              <w:rPr>
                <w:sz w:val="18"/>
                <w:szCs w:val="18"/>
              </w:rPr>
            </w:pPr>
            <w:r w:rsidRPr="00D46F7C">
              <w:rPr>
                <w:sz w:val="18"/>
                <w:szCs w:val="18"/>
              </w:rPr>
              <w:t>None</w:t>
            </w:r>
          </w:p>
        </w:tc>
        <w:tc>
          <w:tcPr>
            <w:tcW w:w="0" w:type="auto"/>
            <w:tcBorders>
              <w:top w:val="single" w:sz="4" w:space="0" w:color="E7E6E6" w:themeColor="background2"/>
            </w:tcBorders>
          </w:tcPr>
          <w:p w14:paraId="10AB8D11" w14:textId="77777777" w:rsidR="005C0AEB" w:rsidRPr="00D46F7C" w:rsidRDefault="005C0AEB" w:rsidP="00B9614A">
            <w:pPr>
              <w:rPr>
                <w:sz w:val="18"/>
                <w:szCs w:val="18"/>
              </w:rPr>
            </w:pPr>
            <w:proofErr w:type="spellStart"/>
            <w:r w:rsidRPr="00D46F7C">
              <w:rPr>
                <w:sz w:val="18"/>
                <w:szCs w:val="18"/>
              </w:rPr>
              <w:t>glm</w:t>
            </w:r>
            <w:proofErr w:type="spellEnd"/>
          </w:p>
        </w:tc>
      </w:tr>
      <w:tr w:rsidR="005C0AEB" w:rsidRPr="00D46F7C" w14:paraId="1E4F96AC" w14:textId="77777777" w:rsidTr="00B9614A">
        <w:tc>
          <w:tcPr>
            <w:tcW w:w="0" w:type="auto"/>
          </w:tcPr>
          <w:p w14:paraId="26979087" w14:textId="77777777" w:rsidR="005C0AEB" w:rsidRPr="00D46F7C" w:rsidRDefault="005C0AEB" w:rsidP="00B9614A">
            <w:pPr>
              <w:rPr>
                <w:sz w:val="18"/>
                <w:szCs w:val="18"/>
              </w:rPr>
            </w:pPr>
            <w:r w:rsidRPr="00D46F7C">
              <w:rPr>
                <w:sz w:val="18"/>
                <w:szCs w:val="18"/>
              </w:rPr>
              <w:t>Multivariate Adaptive Regression Spline</w:t>
            </w:r>
          </w:p>
        </w:tc>
        <w:tc>
          <w:tcPr>
            <w:tcW w:w="0" w:type="auto"/>
          </w:tcPr>
          <w:p w14:paraId="1F90541A" w14:textId="77777777" w:rsidR="005C0AEB" w:rsidRPr="00D46F7C" w:rsidRDefault="005C0AEB" w:rsidP="00B9614A">
            <w:pPr>
              <w:rPr>
                <w:sz w:val="18"/>
                <w:szCs w:val="18"/>
              </w:rPr>
            </w:pPr>
            <w:r w:rsidRPr="00D46F7C">
              <w:rPr>
                <w:sz w:val="18"/>
                <w:szCs w:val="18"/>
              </w:rPr>
              <w:t>Regression</w:t>
            </w:r>
          </w:p>
        </w:tc>
        <w:tc>
          <w:tcPr>
            <w:tcW w:w="0" w:type="auto"/>
          </w:tcPr>
          <w:p w14:paraId="7EF720BD" w14:textId="77777777" w:rsidR="005C0AEB" w:rsidRPr="00D46F7C" w:rsidRDefault="005C0AEB" w:rsidP="00B9614A">
            <w:pPr>
              <w:rPr>
                <w:sz w:val="18"/>
                <w:szCs w:val="18"/>
              </w:rPr>
            </w:pPr>
          </w:p>
        </w:tc>
        <w:tc>
          <w:tcPr>
            <w:tcW w:w="0" w:type="auto"/>
          </w:tcPr>
          <w:p w14:paraId="69AFF4CF" w14:textId="77777777" w:rsidR="005C0AEB" w:rsidRPr="00D46F7C" w:rsidRDefault="005C0AEB" w:rsidP="00B9614A">
            <w:pPr>
              <w:rPr>
                <w:sz w:val="18"/>
                <w:szCs w:val="18"/>
              </w:rPr>
            </w:pPr>
            <w:r w:rsidRPr="00D46F7C">
              <w:rPr>
                <w:sz w:val="18"/>
                <w:szCs w:val="18"/>
              </w:rPr>
              <w:t>earth</w:t>
            </w:r>
          </w:p>
        </w:tc>
      </w:tr>
      <w:tr w:rsidR="005C0AEB" w:rsidRPr="00D46F7C" w14:paraId="72EE80A3" w14:textId="77777777" w:rsidTr="00B9614A">
        <w:tc>
          <w:tcPr>
            <w:tcW w:w="0" w:type="auto"/>
          </w:tcPr>
          <w:p w14:paraId="6E54066B" w14:textId="77777777" w:rsidR="005C0AEB" w:rsidRPr="00D46F7C" w:rsidRDefault="005C0AEB" w:rsidP="00B9614A">
            <w:pPr>
              <w:rPr>
                <w:sz w:val="18"/>
                <w:szCs w:val="18"/>
              </w:rPr>
            </w:pPr>
            <w:r w:rsidRPr="00D46F7C">
              <w:rPr>
                <w:sz w:val="18"/>
                <w:szCs w:val="18"/>
              </w:rPr>
              <w:t>Penalized discriminant analysis</w:t>
            </w:r>
          </w:p>
        </w:tc>
        <w:tc>
          <w:tcPr>
            <w:tcW w:w="0" w:type="auto"/>
          </w:tcPr>
          <w:p w14:paraId="28873115" w14:textId="77777777" w:rsidR="005C0AEB" w:rsidRPr="00D46F7C" w:rsidRDefault="005C0AEB" w:rsidP="00B9614A">
            <w:pPr>
              <w:rPr>
                <w:sz w:val="18"/>
                <w:szCs w:val="18"/>
              </w:rPr>
            </w:pPr>
            <w:r w:rsidRPr="00D46F7C">
              <w:rPr>
                <w:sz w:val="18"/>
                <w:szCs w:val="18"/>
              </w:rPr>
              <w:t>Dimensionality reduction</w:t>
            </w:r>
          </w:p>
        </w:tc>
        <w:tc>
          <w:tcPr>
            <w:tcW w:w="0" w:type="auto"/>
          </w:tcPr>
          <w:p w14:paraId="6572AFFE" w14:textId="77777777" w:rsidR="005C0AEB" w:rsidRPr="00D46F7C" w:rsidRDefault="005C0AEB" w:rsidP="00B9614A">
            <w:pPr>
              <w:rPr>
                <w:sz w:val="18"/>
                <w:szCs w:val="18"/>
              </w:rPr>
            </w:pPr>
          </w:p>
        </w:tc>
        <w:tc>
          <w:tcPr>
            <w:tcW w:w="0" w:type="auto"/>
          </w:tcPr>
          <w:p w14:paraId="7BD69A68" w14:textId="77777777" w:rsidR="005C0AEB" w:rsidRPr="00D46F7C" w:rsidRDefault="005C0AEB" w:rsidP="00B9614A">
            <w:pPr>
              <w:rPr>
                <w:sz w:val="18"/>
                <w:szCs w:val="18"/>
              </w:rPr>
            </w:pPr>
            <w:proofErr w:type="spellStart"/>
            <w:r w:rsidRPr="00D46F7C">
              <w:rPr>
                <w:sz w:val="18"/>
                <w:szCs w:val="18"/>
              </w:rPr>
              <w:t>pda</w:t>
            </w:r>
            <w:proofErr w:type="spellEnd"/>
          </w:p>
        </w:tc>
      </w:tr>
      <w:tr w:rsidR="005C0AEB" w:rsidRPr="00D46F7C" w14:paraId="2C1C741E" w14:textId="77777777" w:rsidTr="00B9614A">
        <w:tc>
          <w:tcPr>
            <w:tcW w:w="0" w:type="auto"/>
          </w:tcPr>
          <w:p w14:paraId="42C9ECF8" w14:textId="77777777" w:rsidR="005C0AEB" w:rsidRPr="00D46F7C" w:rsidRDefault="005C0AEB" w:rsidP="00B9614A">
            <w:pPr>
              <w:rPr>
                <w:sz w:val="18"/>
                <w:szCs w:val="18"/>
              </w:rPr>
            </w:pPr>
            <w:r w:rsidRPr="00D46F7C">
              <w:rPr>
                <w:sz w:val="18"/>
                <w:szCs w:val="18"/>
              </w:rPr>
              <w:t>Penalized multinomial regression</w:t>
            </w:r>
          </w:p>
        </w:tc>
        <w:tc>
          <w:tcPr>
            <w:tcW w:w="0" w:type="auto"/>
          </w:tcPr>
          <w:p w14:paraId="5794B465" w14:textId="77777777" w:rsidR="005C0AEB" w:rsidRPr="00D46F7C" w:rsidRDefault="005C0AEB" w:rsidP="00B9614A">
            <w:pPr>
              <w:rPr>
                <w:sz w:val="18"/>
                <w:szCs w:val="18"/>
              </w:rPr>
            </w:pPr>
            <w:r w:rsidRPr="00D46F7C">
              <w:rPr>
                <w:sz w:val="18"/>
                <w:szCs w:val="18"/>
              </w:rPr>
              <w:t>Dimensionality reduction</w:t>
            </w:r>
          </w:p>
        </w:tc>
        <w:tc>
          <w:tcPr>
            <w:tcW w:w="0" w:type="auto"/>
          </w:tcPr>
          <w:p w14:paraId="7ED95969" w14:textId="77777777" w:rsidR="005C0AEB" w:rsidRPr="00D46F7C" w:rsidRDefault="005C0AEB" w:rsidP="00B9614A">
            <w:pPr>
              <w:rPr>
                <w:sz w:val="18"/>
                <w:szCs w:val="18"/>
              </w:rPr>
            </w:pPr>
          </w:p>
        </w:tc>
        <w:tc>
          <w:tcPr>
            <w:tcW w:w="0" w:type="auto"/>
          </w:tcPr>
          <w:p w14:paraId="7347FF5C" w14:textId="77777777" w:rsidR="005C0AEB" w:rsidRPr="00D46F7C" w:rsidRDefault="005C0AEB" w:rsidP="00B9614A">
            <w:pPr>
              <w:rPr>
                <w:sz w:val="18"/>
                <w:szCs w:val="18"/>
              </w:rPr>
            </w:pPr>
            <w:proofErr w:type="spellStart"/>
            <w:r w:rsidRPr="00D46F7C">
              <w:rPr>
                <w:sz w:val="18"/>
                <w:szCs w:val="18"/>
              </w:rPr>
              <w:t>multinom</w:t>
            </w:r>
            <w:proofErr w:type="spellEnd"/>
          </w:p>
        </w:tc>
      </w:tr>
      <w:tr w:rsidR="005C0AEB" w:rsidRPr="00D46F7C" w14:paraId="56C4FF24" w14:textId="77777777" w:rsidTr="00B9614A">
        <w:tc>
          <w:tcPr>
            <w:tcW w:w="0" w:type="auto"/>
          </w:tcPr>
          <w:p w14:paraId="5A9F7AF0" w14:textId="77777777" w:rsidR="005C0AEB" w:rsidRPr="00D46F7C" w:rsidRDefault="005C0AEB" w:rsidP="00B9614A">
            <w:pPr>
              <w:rPr>
                <w:sz w:val="18"/>
                <w:szCs w:val="18"/>
              </w:rPr>
            </w:pPr>
            <w:r w:rsidRPr="00D46F7C">
              <w:rPr>
                <w:sz w:val="18"/>
                <w:szCs w:val="18"/>
              </w:rPr>
              <w:t>Bagged classification and regression tree (CART)</w:t>
            </w:r>
          </w:p>
        </w:tc>
        <w:tc>
          <w:tcPr>
            <w:tcW w:w="0" w:type="auto"/>
          </w:tcPr>
          <w:p w14:paraId="333C3370" w14:textId="77777777" w:rsidR="005C0AEB" w:rsidRPr="00D46F7C" w:rsidRDefault="005C0AEB" w:rsidP="00B9614A">
            <w:pPr>
              <w:rPr>
                <w:sz w:val="18"/>
                <w:szCs w:val="18"/>
              </w:rPr>
            </w:pPr>
            <w:r w:rsidRPr="00D46F7C">
              <w:rPr>
                <w:sz w:val="18"/>
                <w:szCs w:val="18"/>
              </w:rPr>
              <w:t>Decision tree</w:t>
            </w:r>
          </w:p>
        </w:tc>
        <w:tc>
          <w:tcPr>
            <w:tcW w:w="0" w:type="auto"/>
          </w:tcPr>
          <w:p w14:paraId="278E18E5" w14:textId="77777777" w:rsidR="005C0AEB" w:rsidRPr="00D46F7C" w:rsidRDefault="005C0AEB" w:rsidP="00B9614A">
            <w:pPr>
              <w:rPr>
                <w:sz w:val="18"/>
                <w:szCs w:val="18"/>
              </w:rPr>
            </w:pPr>
            <w:r w:rsidRPr="00D46F7C">
              <w:rPr>
                <w:sz w:val="18"/>
                <w:szCs w:val="18"/>
              </w:rPr>
              <w:t>None</w:t>
            </w:r>
          </w:p>
        </w:tc>
        <w:tc>
          <w:tcPr>
            <w:tcW w:w="0" w:type="auto"/>
          </w:tcPr>
          <w:p w14:paraId="115DCE6E" w14:textId="77777777" w:rsidR="005C0AEB" w:rsidRPr="00D46F7C" w:rsidRDefault="005C0AEB" w:rsidP="00B9614A">
            <w:pPr>
              <w:rPr>
                <w:sz w:val="18"/>
                <w:szCs w:val="18"/>
              </w:rPr>
            </w:pPr>
            <w:proofErr w:type="spellStart"/>
            <w:r w:rsidRPr="00D46F7C">
              <w:rPr>
                <w:sz w:val="18"/>
                <w:szCs w:val="18"/>
              </w:rPr>
              <w:t>treebag</w:t>
            </w:r>
            <w:proofErr w:type="spellEnd"/>
          </w:p>
        </w:tc>
      </w:tr>
      <w:tr w:rsidR="005C0AEB" w:rsidRPr="00D46F7C" w14:paraId="4252498D" w14:textId="77777777" w:rsidTr="00B9614A">
        <w:tc>
          <w:tcPr>
            <w:tcW w:w="0" w:type="auto"/>
          </w:tcPr>
          <w:p w14:paraId="5E7CF639" w14:textId="77777777" w:rsidR="005C0AEB" w:rsidRPr="00D46F7C" w:rsidRDefault="005C0AEB" w:rsidP="00B9614A">
            <w:pPr>
              <w:rPr>
                <w:sz w:val="18"/>
                <w:szCs w:val="18"/>
              </w:rPr>
            </w:pPr>
            <w:r w:rsidRPr="00D46F7C">
              <w:rPr>
                <w:sz w:val="18"/>
                <w:szCs w:val="18"/>
              </w:rPr>
              <w:t>Gradient boosting machine</w:t>
            </w:r>
          </w:p>
        </w:tc>
        <w:tc>
          <w:tcPr>
            <w:tcW w:w="0" w:type="auto"/>
          </w:tcPr>
          <w:p w14:paraId="7AFEC2FE" w14:textId="77777777" w:rsidR="005C0AEB" w:rsidRPr="00D46F7C" w:rsidRDefault="005C0AEB" w:rsidP="00B9614A">
            <w:pPr>
              <w:rPr>
                <w:sz w:val="18"/>
                <w:szCs w:val="18"/>
              </w:rPr>
            </w:pPr>
            <w:r w:rsidRPr="00D46F7C">
              <w:rPr>
                <w:sz w:val="18"/>
                <w:szCs w:val="18"/>
              </w:rPr>
              <w:t>Ensemble</w:t>
            </w:r>
          </w:p>
        </w:tc>
        <w:tc>
          <w:tcPr>
            <w:tcW w:w="0" w:type="auto"/>
          </w:tcPr>
          <w:p w14:paraId="1A8B85C2" w14:textId="77777777" w:rsidR="005C0AEB" w:rsidRPr="00D46F7C" w:rsidRDefault="005C0AEB" w:rsidP="00B9614A">
            <w:pPr>
              <w:rPr>
                <w:sz w:val="18"/>
                <w:szCs w:val="18"/>
              </w:rPr>
            </w:pPr>
          </w:p>
        </w:tc>
        <w:tc>
          <w:tcPr>
            <w:tcW w:w="0" w:type="auto"/>
          </w:tcPr>
          <w:p w14:paraId="75972423" w14:textId="77777777" w:rsidR="005C0AEB" w:rsidRPr="00D46F7C" w:rsidRDefault="005C0AEB" w:rsidP="00B9614A">
            <w:pPr>
              <w:rPr>
                <w:sz w:val="18"/>
                <w:szCs w:val="18"/>
              </w:rPr>
            </w:pPr>
            <w:proofErr w:type="spellStart"/>
            <w:r w:rsidRPr="00D46F7C">
              <w:rPr>
                <w:sz w:val="18"/>
                <w:szCs w:val="18"/>
              </w:rPr>
              <w:t>gbm</w:t>
            </w:r>
            <w:proofErr w:type="spellEnd"/>
          </w:p>
        </w:tc>
      </w:tr>
      <w:tr w:rsidR="005C0AEB" w:rsidRPr="00D46F7C" w14:paraId="6542A142" w14:textId="77777777" w:rsidTr="00B9614A">
        <w:tc>
          <w:tcPr>
            <w:tcW w:w="0" w:type="auto"/>
          </w:tcPr>
          <w:p w14:paraId="69DC8335" w14:textId="77777777" w:rsidR="005C0AEB" w:rsidRPr="00D46F7C" w:rsidRDefault="005C0AEB" w:rsidP="00B9614A">
            <w:pPr>
              <w:rPr>
                <w:sz w:val="18"/>
                <w:szCs w:val="18"/>
              </w:rPr>
            </w:pPr>
            <w:r w:rsidRPr="00D46F7C">
              <w:rPr>
                <w:sz w:val="18"/>
                <w:szCs w:val="18"/>
              </w:rPr>
              <w:t>Random forest</w:t>
            </w:r>
          </w:p>
        </w:tc>
        <w:tc>
          <w:tcPr>
            <w:tcW w:w="0" w:type="auto"/>
          </w:tcPr>
          <w:p w14:paraId="4BA2720D" w14:textId="77777777" w:rsidR="005C0AEB" w:rsidRPr="00D46F7C" w:rsidRDefault="005C0AEB" w:rsidP="00B9614A">
            <w:pPr>
              <w:rPr>
                <w:sz w:val="18"/>
                <w:szCs w:val="18"/>
              </w:rPr>
            </w:pPr>
            <w:r w:rsidRPr="00D46F7C">
              <w:rPr>
                <w:sz w:val="18"/>
                <w:szCs w:val="18"/>
              </w:rPr>
              <w:t>Ensemble</w:t>
            </w:r>
          </w:p>
        </w:tc>
        <w:tc>
          <w:tcPr>
            <w:tcW w:w="0" w:type="auto"/>
          </w:tcPr>
          <w:p w14:paraId="31FE48D8" w14:textId="77777777" w:rsidR="005C0AEB" w:rsidRPr="00D46F7C" w:rsidRDefault="005C0AEB" w:rsidP="00B9614A">
            <w:pPr>
              <w:rPr>
                <w:sz w:val="18"/>
                <w:szCs w:val="18"/>
              </w:rPr>
            </w:pPr>
          </w:p>
        </w:tc>
        <w:tc>
          <w:tcPr>
            <w:tcW w:w="0" w:type="auto"/>
          </w:tcPr>
          <w:p w14:paraId="033D646F" w14:textId="77777777" w:rsidR="005C0AEB" w:rsidRPr="00D46F7C" w:rsidRDefault="005C0AEB" w:rsidP="00B9614A">
            <w:pPr>
              <w:rPr>
                <w:sz w:val="18"/>
                <w:szCs w:val="18"/>
              </w:rPr>
            </w:pPr>
            <w:r w:rsidRPr="00D46F7C">
              <w:rPr>
                <w:sz w:val="18"/>
                <w:szCs w:val="18"/>
              </w:rPr>
              <w:t>ranger</w:t>
            </w:r>
          </w:p>
        </w:tc>
      </w:tr>
      <w:tr w:rsidR="005C0AEB" w:rsidRPr="00D46F7C" w14:paraId="3E1616B5" w14:textId="77777777" w:rsidTr="00B9614A">
        <w:tc>
          <w:tcPr>
            <w:tcW w:w="0" w:type="auto"/>
          </w:tcPr>
          <w:p w14:paraId="48313DE4" w14:textId="77777777" w:rsidR="005C0AEB" w:rsidRPr="00D46F7C" w:rsidRDefault="005C0AEB" w:rsidP="00B9614A">
            <w:pPr>
              <w:rPr>
                <w:sz w:val="18"/>
                <w:szCs w:val="18"/>
              </w:rPr>
            </w:pPr>
            <w:r w:rsidRPr="00D46F7C">
              <w:rPr>
                <w:sz w:val="18"/>
                <w:szCs w:val="18"/>
              </w:rPr>
              <w:t>Single layer neural network</w:t>
            </w:r>
          </w:p>
        </w:tc>
        <w:tc>
          <w:tcPr>
            <w:tcW w:w="0" w:type="auto"/>
          </w:tcPr>
          <w:p w14:paraId="2420274D" w14:textId="77777777" w:rsidR="005C0AEB" w:rsidRPr="00D46F7C" w:rsidRDefault="005C0AEB" w:rsidP="00B9614A">
            <w:pPr>
              <w:rPr>
                <w:sz w:val="18"/>
                <w:szCs w:val="18"/>
              </w:rPr>
            </w:pPr>
            <w:r w:rsidRPr="00D46F7C">
              <w:rPr>
                <w:sz w:val="18"/>
                <w:szCs w:val="18"/>
              </w:rPr>
              <w:t>Artificial neural network</w:t>
            </w:r>
          </w:p>
        </w:tc>
        <w:tc>
          <w:tcPr>
            <w:tcW w:w="0" w:type="auto"/>
          </w:tcPr>
          <w:p w14:paraId="009075CA" w14:textId="77777777" w:rsidR="005C0AEB" w:rsidRPr="00D46F7C" w:rsidRDefault="005C0AEB" w:rsidP="00B9614A">
            <w:pPr>
              <w:rPr>
                <w:sz w:val="18"/>
                <w:szCs w:val="18"/>
              </w:rPr>
            </w:pPr>
          </w:p>
        </w:tc>
        <w:tc>
          <w:tcPr>
            <w:tcW w:w="0" w:type="auto"/>
          </w:tcPr>
          <w:p w14:paraId="41037E6E" w14:textId="77777777" w:rsidR="005C0AEB" w:rsidRPr="00D46F7C" w:rsidRDefault="005C0AEB" w:rsidP="00B9614A">
            <w:pPr>
              <w:rPr>
                <w:sz w:val="18"/>
                <w:szCs w:val="18"/>
              </w:rPr>
            </w:pPr>
            <w:proofErr w:type="spellStart"/>
            <w:r w:rsidRPr="00D46F7C">
              <w:rPr>
                <w:sz w:val="18"/>
                <w:szCs w:val="18"/>
              </w:rPr>
              <w:t>nnet</w:t>
            </w:r>
            <w:proofErr w:type="spellEnd"/>
          </w:p>
        </w:tc>
      </w:tr>
    </w:tbl>
    <w:p w14:paraId="45912AF5" w14:textId="3258A984" w:rsidR="00987E42" w:rsidRDefault="004D224D" w:rsidP="005C0AEB">
      <w:pPr>
        <w:spacing w:before="240"/>
      </w:pPr>
      <w:r>
        <w:t xml:space="preserve">We employed the following strategies to address the inherent class imbalance: 1) stratified sampling 2) fewer cross-validation folds 3) class weights </w:t>
      </w:r>
      <w:r w:rsidR="00987E42">
        <w:t xml:space="preserve">4) </w:t>
      </w:r>
      <w:r>
        <w:t xml:space="preserve">sub-sampling </w:t>
      </w:r>
      <w:r w:rsidR="00987E42">
        <w:t>5</w:t>
      </w:r>
      <w:r>
        <w:t xml:space="preserve">) performance metrics. Stratified sampling means that any time we created divisions in the data set such as splitting the training and test data or subdividing the training data into cross-validation folds, we partitioned the data based on occurrence of temperature-related morbidity. This way each subset maintained the same proportion of the dependent variable as the original data. In other words, we did not want any cross-validation folds to end up with no cases of temperature-related morbidity. </w:t>
      </w:r>
      <w:r w:rsidR="00B54978">
        <w:t xml:space="preserve">We also set 5 folds versus the common practice of 10 folds for cross-validation. This allowed us to hold more observations of temperature-related morbidity for the validation set when tuning </w:t>
      </w:r>
      <w:r w:rsidR="00B54978">
        <w:lastRenderedPageBreak/>
        <w:t xml:space="preserve">hyperparameters. </w:t>
      </w:r>
      <w:r w:rsidR="00987E42">
        <w:t xml:space="preserve">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minority class and synthesize new data points in the minority class. SMOTE draws artificial samples by choosing points that line on the line connecting minority class observations to its nearest neighbors in the feature space. ROSE uses smoothed bootstrapping to draw artificial samples from the feature space neighborhood around the minority class. </w:t>
      </w:r>
    </w:p>
    <w:p w14:paraId="6D5D6D26" w14:textId="4137E21E" w:rsidR="005C0AEB" w:rsidRDefault="005D1769" w:rsidP="006E4BA2">
      <w:pPr>
        <w:spacing w:before="240"/>
      </w:pPr>
      <w:r>
        <w:t>Finally, we considered the class imbalance in our choice of performance metric. The routine choice for binary classification problems is the</w:t>
      </w:r>
      <w:r>
        <w:t xml:space="preserve"> Receiver Operating Characteristic (ROC) curve</w:t>
      </w:r>
      <w:r>
        <w:t>, which</w:t>
      </w:r>
      <w:r>
        <w:t xml:space="preserve"> plots the true positive rate</w:t>
      </w:r>
      <w:r w:rsidR="00EF7959">
        <w:t xml:space="preserve"> (</w:t>
      </w:r>
      <w:r w:rsidR="00EF7959" w:rsidRPr="00EF7959">
        <w:t>True</w:t>
      </w:r>
      <w:r w:rsidR="00E95673">
        <w:t xml:space="preserve"> </w:t>
      </w:r>
      <w:r w:rsidR="00EF7959" w:rsidRPr="00EF7959">
        <w:t>Positives / (True</w:t>
      </w:r>
      <w:r w:rsidR="00E95673">
        <w:t xml:space="preserve"> </w:t>
      </w:r>
      <w:r w:rsidR="00EF7959" w:rsidRPr="00EF7959">
        <w:t>Positives + False Negatives)</w:t>
      </w:r>
      <w:r w:rsidR="00EF7959">
        <w:t>)</w:t>
      </w:r>
      <w:r>
        <w:t xml:space="preserve"> versus the false positive rate </w:t>
      </w:r>
      <w:r w:rsidR="00E95673">
        <w:t>(</w:t>
      </w:r>
      <w:r w:rsidR="00E95673" w:rsidRPr="00E95673">
        <w:t>False</w:t>
      </w:r>
      <w:r w:rsidR="00E95673">
        <w:t xml:space="preserve"> </w:t>
      </w:r>
      <w:r w:rsidR="00E95673" w:rsidRPr="00E95673">
        <w:t>Positives / (False</w:t>
      </w:r>
      <w:r w:rsidR="00E95673">
        <w:t xml:space="preserve"> </w:t>
      </w:r>
      <w:r w:rsidR="00E95673" w:rsidRPr="00E95673">
        <w:t>Positives + True</w:t>
      </w:r>
      <w:r w:rsidR="00E95673">
        <w:t xml:space="preserve"> </w:t>
      </w:r>
      <w:r w:rsidR="00E95673" w:rsidRPr="00E95673">
        <w:t>Negatives)</w:t>
      </w:r>
      <w:r w:rsidR="00E95673">
        <w:t xml:space="preserve">) </w:t>
      </w:r>
      <w:r>
        <w:t xml:space="preserve">with different discrimination thresholds. The AUROC summarizes the ROC curve into a single metric that represents the prediction accuracy of the model. </w:t>
      </w:r>
      <w:r>
        <w:t>This metric</w:t>
      </w:r>
      <w:r w:rsidR="005C0AEB">
        <w:t xml:space="preserve"> can be misleading for imbalanced data</w:t>
      </w:r>
      <w:r w:rsidR="00E95673">
        <w:t xml:space="preserve"> because the false positive rate becomes very small when the number of negatives is very large.</w:t>
      </w:r>
      <w:r w:rsidR="00C26EFC">
        <w:t xml:space="preserve"> </w:t>
      </w:r>
      <w:r w:rsidR="00C26EFC">
        <w:fldChar w:fldCharType="begin"/>
      </w:r>
      <w:r>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fldChar w:fldCharType="separate"/>
      </w:r>
      <w:r>
        <w:rPr>
          <w:noProof/>
        </w:rPr>
        <w:t>(Davis and Goadrich 2006; Fawcett 2006)</w:t>
      </w:r>
      <w:r w:rsidR="00C26EFC">
        <w:fldChar w:fldCharType="end"/>
      </w:r>
      <w:r>
        <w:t xml:space="preserve">. The Precision-Recall </w:t>
      </w:r>
      <w:r w:rsidR="00EF7959">
        <w:t xml:space="preserve">(PR) </w:t>
      </w:r>
      <w:r>
        <w:t xml:space="preserve">curve, on the other hand, plots the </w:t>
      </w:r>
      <w:r w:rsidR="00EC4798">
        <w:t>precision, defined as the number of correct positive predictions divided by the total number of positive predictions</w:t>
      </w:r>
      <w:r w:rsidR="00E95673">
        <w:t xml:space="preserve"> (</w:t>
      </w:r>
      <w:r w:rsidR="00E95673" w:rsidRPr="00E95673">
        <w:t>True</w:t>
      </w:r>
      <w:r w:rsidR="009305C1">
        <w:t xml:space="preserve"> </w:t>
      </w:r>
      <w:r w:rsidR="00E95673" w:rsidRPr="00E95673">
        <w:t>Positives / (True</w:t>
      </w:r>
      <w:r w:rsidR="009305C1">
        <w:t xml:space="preserve"> </w:t>
      </w:r>
      <w:r w:rsidR="00E95673" w:rsidRPr="00E95673">
        <w:t>Positives + False</w:t>
      </w:r>
      <w:r w:rsidR="009305C1">
        <w:t xml:space="preserve"> </w:t>
      </w:r>
      <w:r w:rsidR="00E95673" w:rsidRPr="00E95673">
        <w:t>Positives</w:t>
      </w:r>
      <w:r w:rsidR="00E95673">
        <w:t>)</w:t>
      </w:r>
      <w:r w:rsidR="00E95673" w:rsidRPr="00E95673">
        <w:t>)</w:t>
      </w:r>
      <w:r w:rsidR="009305C1">
        <w:t xml:space="preserve"> by the</w:t>
      </w:r>
      <w:r w:rsidR="00EC4798">
        <w:t xml:space="preserve"> </w:t>
      </w:r>
      <w:r w:rsidR="009305C1">
        <w:t>r</w:t>
      </w:r>
      <w:r w:rsidR="00EC4798">
        <w:t>ecall</w:t>
      </w:r>
      <w:r w:rsidR="009305C1">
        <w:t>, which</w:t>
      </w:r>
      <w:r w:rsidR="00EC4798">
        <w:t xml:space="preserve"> quantifies that number of correct positive predictions by total number of positives</w:t>
      </w:r>
      <w:r w:rsidR="009305C1">
        <w:t xml:space="preserve"> (</w:t>
      </w:r>
      <w:r w:rsidR="009305C1" w:rsidRPr="009305C1">
        <w:t>True</w:t>
      </w:r>
      <w:r w:rsidR="009305C1">
        <w:t xml:space="preserve"> </w:t>
      </w:r>
      <w:r w:rsidR="009305C1" w:rsidRPr="009305C1">
        <w:t>Positives / (True</w:t>
      </w:r>
      <w:r w:rsidR="009305C1">
        <w:t xml:space="preserve"> </w:t>
      </w:r>
      <w:r w:rsidR="009305C1" w:rsidRPr="009305C1">
        <w:t>Positives + False</w:t>
      </w:r>
      <w:r w:rsidR="009305C1">
        <w:t xml:space="preserve"> </w:t>
      </w:r>
      <w:r w:rsidR="009305C1" w:rsidRPr="009305C1">
        <w:t>Negatives)</w:t>
      </w:r>
      <w:r w:rsidR="009305C1">
        <w:t>)</w:t>
      </w:r>
      <w:r w:rsidR="00EC4798">
        <w:t xml:space="preserve"> i.e. the same as the true positive rate in the ROC curve. </w:t>
      </w:r>
      <w:r w:rsidR="00EF7959">
        <w:t xml:space="preserve">The PR curve is better suited for imbalanced data sets because it is not concerned with negative class predictions i.e. the majority class. </w:t>
      </w:r>
      <w:r w:rsidR="009305C1">
        <w:t xml:space="preserve">Like AUROC, the area under the PR curve (AUC) summarizes the PR curve into a single metric. We use the AUC to select the best hyperparameter values and compare model performance in the test set. In the test set, we will also compare the recall, since we are primarily concerned with correctly identifying the positive class i.e. households with temperature-related </w:t>
      </w:r>
      <w:r w:rsidR="00D11F23">
        <w:t>morbidity</w:t>
      </w:r>
      <w:r w:rsidR="009305C1">
        <w:t xml:space="preserve">. </w:t>
      </w:r>
    </w:p>
    <w:p w14:paraId="39CB9080" w14:textId="7973DFCB" w:rsidR="00D46F7C" w:rsidRDefault="008F3A22" w:rsidP="006E4BA2">
      <w:pPr>
        <w:spacing w:before="240"/>
      </w:pPr>
      <w:r>
        <w:t xml:space="preserve">We used the statistical software R </w:t>
      </w:r>
      <w:r>
        <w:fldChar w:fldCharType="begin"/>
      </w:r>
      <w:r>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fldChar w:fldCharType="separate"/>
      </w:r>
      <w:r>
        <w:t>(R Core Team 2022)</w:t>
      </w:r>
      <w:r>
        <w:fldChar w:fldCharType="end"/>
      </w:r>
      <w:r>
        <w:t xml:space="preserve"> and its associated integrated development environment RStudio </w:t>
      </w:r>
      <w:r>
        <w:fldChar w:fldCharType="begin"/>
      </w:r>
      <w:r>
        <w:instrText xml:space="preserve"> ADDIN ZOTERO_ITEM CSL_CITATION {"citationID":"wHBpPQDN","properties":{"formattedCitation":"(RStudio Team 2021)","plainCitation":"(RStudio Team 2021)","noteIndex":0},"citationItems":[{"id":90,"uris":["http://zotero.org/users/4259226/items/ISYQ37UX",["http://zotero.org/users/4259226/items/ISYQ37UX"]],"itemData":{"id":90,"type":"software","event-place":"Boston, MA","publisher":"RStudio, PBC","publisher-place":"Boston, MA","title":"RStudio: Integrated Development Environment for R","URL":"http://www.rstudio.com/","version":"1.4.1717","author":[{"family":"RStudio Team","given":""}],"issued":{"date-parts":[["2021"]]}}}],"schema":"https://github.com/citation-style-language/schema/raw/master/csl-citation.json"} </w:instrText>
      </w:r>
      <w:r>
        <w:fldChar w:fldCharType="separate"/>
      </w:r>
      <w:r w:rsidRPr="00590F99">
        <w:t>(RStudio Team 2021)</w:t>
      </w:r>
      <w:r>
        <w:fldChar w:fldCharType="end"/>
      </w:r>
      <w:r>
        <w:t xml:space="preserve"> to build and analyze all machine learning models. In particular, we used the </w:t>
      </w:r>
      <w:proofErr w:type="spellStart"/>
      <w:r>
        <w:t>tidyverse</w:t>
      </w:r>
      <w:proofErr w:type="spellEnd"/>
      <w:r>
        <w:t xml:space="preserve"> package </w:t>
      </w:r>
      <w:r>
        <w:fldChar w:fldCharType="begin"/>
      </w:r>
      <w:r>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fldChar w:fldCharType="separate"/>
      </w:r>
      <w:r>
        <w:t>(Wickham and RStudio 2023)</w:t>
      </w:r>
      <w:r>
        <w:fldChar w:fldCharType="end"/>
      </w:r>
      <w:r>
        <w:t xml:space="preserve"> for reading, manipulating, and visualizing data and the caret package </w:t>
      </w:r>
      <w:r>
        <w:fldChar w:fldCharType="begin"/>
      </w:r>
      <w:r>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fldChar w:fldCharType="separate"/>
      </w:r>
      <w:r>
        <w:rPr>
          <w:noProof/>
        </w:rPr>
        <w:t>(Kuhn et al. 2023)</w:t>
      </w:r>
      <w:r>
        <w:fldChar w:fldCharType="end"/>
      </w:r>
      <w:r>
        <w:t xml:space="preserve"> as a wrapper to conduct data pre-processing, resampling, and cross-validation as well as interface with the different machine learning algorithms. </w:t>
      </w:r>
      <w:r>
        <w:fldChar w:fldCharType="begin" w:fldLock="1"/>
      </w:r>
      <w:r>
        <w:instrText xml:space="preserve"> REF _Ref78750459 \h </w:instrText>
      </w:r>
      <w:r>
        <w:fldChar w:fldCharType="separate"/>
      </w:r>
      <w:r>
        <w:fldChar w:fldCharType="end"/>
      </w:r>
      <w:r>
        <w:t xml:space="preserve"> </w:t>
      </w:r>
    </w:p>
    <w:p w14:paraId="43DE9799" w14:textId="572599B7" w:rsidR="00CB56CD" w:rsidRDefault="00850ADA" w:rsidP="00CB56CD">
      <w:pPr>
        <w:pStyle w:val="Heading1List"/>
      </w:pPr>
      <w:r>
        <w:t>Results</w:t>
      </w:r>
    </w:p>
    <w:p w14:paraId="3B571105" w14:textId="6B8CC750" w:rsidR="00F305DE" w:rsidRDefault="00C5281C" w:rsidP="00F305DE">
      <w:pPr>
        <w:pStyle w:val="Heading2List"/>
      </w:pPr>
      <w:r>
        <w:t>Prevalence of temperature-related morbidity in population</w:t>
      </w:r>
    </w:p>
    <w:p w14:paraId="2FD0CDC1" w14:textId="0B0DCDF0" w:rsidR="0035210F" w:rsidRDefault="00B12A97" w:rsidP="0035210F">
      <w:r>
        <w:t>First</w:t>
      </w:r>
      <w:r w:rsidR="006E3111">
        <w:t>, we estimated the prevalence of temperature-related morbidity in U.S. households.</w:t>
      </w:r>
      <w:r w:rsidR="003118E4">
        <w:t xml:space="preserve"> </w:t>
      </w:r>
      <w:r w:rsidR="0035210F">
        <w:fldChar w:fldCharType="begin"/>
      </w:r>
      <w:r w:rsidR="0035210F">
        <w:instrText xml:space="preserve"> REF _Ref151828826 \h </w:instrText>
      </w:r>
      <w:r w:rsidR="0035210F">
        <w:instrText xml:space="preserve"> \* MERGEFORMAT </w:instrText>
      </w:r>
      <w:r w:rsidR="0035210F">
        <w:fldChar w:fldCharType="separate"/>
      </w:r>
      <w:r w:rsidR="0035210F">
        <w:t xml:space="preserve">Fig.  </w:t>
      </w:r>
      <w:r w:rsidR="0035210F">
        <w:rPr>
          <w:noProof/>
        </w:rPr>
        <w:t>1</w:t>
      </w:r>
      <w:r w:rsidR="0035210F">
        <w:fldChar w:fldCharType="end"/>
      </w:r>
      <w:r w:rsidR="0035210F">
        <w:t xml:space="preserve"> compares the estimated number of households affected by heat-related, cold-related, or any temperature-related morbidity. </w:t>
      </w:r>
      <w:r w:rsidR="000A728F">
        <w:t>Like</w:t>
      </w:r>
      <w:r w:rsidR="003118E4">
        <w:t xml:space="preserve"> the global and national trends discussed in Section </w:t>
      </w:r>
      <w:r w:rsidR="003118E4">
        <w:fldChar w:fldCharType="begin"/>
      </w:r>
      <w:r w:rsidR="003118E4">
        <w:instrText xml:space="preserve"> REF _Ref151832870 \r \h </w:instrText>
      </w:r>
      <w:r w:rsidR="003118E4">
        <w:fldChar w:fldCharType="separate"/>
      </w:r>
      <w:r w:rsidR="003118E4">
        <w:t>1.1</w:t>
      </w:r>
      <w:r w:rsidR="003118E4">
        <w:fldChar w:fldCharType="end"/>
      </w:r>
      <w:r w:rsidR="003118E4">
        <w:t>,</w:t>
      </w:r>
      <w:r w:rsidR="000A728F">
        <w:t xml:space="preserve"> </w:t>
      </w:r>
      <w:r w:rsidR="0061373A">
        <w:t xml:space="preserve">we </w:t>
      </w:r>
      <w:r>
        <w:t>found</w:t>
      </w:r>
      <w:r w:rsidR="0061373A">
        <w:t xml:space="preserve"> that cold-related </w:t>
      </w:r>
      <w:r w:rsidR="00D30AB4">
        <w:t xml:space="preserve">hazards </w:t>
      </w:r>
      <w:r>
        <w:t>were</w:t>
      </w:r>
      <w:r w:rsidR="00D30AB4">
        <w:t xml:space="preserve"> more</w:t>
      </w:r>
      <w:r w:rsidR="0061373A">
        <w:t xml:space="preserve"> prevalent than heat-related</w:t>
      </w:r>
      <w:r w:rsidR="00D30AB4">
        <w:t xml:space="preserve"> ones</w:t>
      </w:r>
      <w:r w:rsidR="0061373A">
        <w:t xml:space="preserve">. While overall the number of households with any temperature-related morbidity represents less than 1% of the total population, </w:t>
      </w:r>
      <w:r>
        <w:t>this equates to nearly</w:t>
      </w:r>
      <w:r w:rsidR="0061373A">
        <w:t xml:space="preserve"> 2 million households are impacted annually</w:t>
      </w:r>
      <w:r w:rsidR="00FB5078">
        <w:t xml:space="preserve"> in the United States</w:t>
      </w:r>
      <w:r>
        <w:t>, hardly a negligible number</w:t>
      </w:r>
      <w:r w:rsidR="0061373A">
        <w:t>. This number is likely an underestimate since the respondent may not</w:t>
      </w:r>
      <w:r w:rsidR="00D30AB4">
        <w:t xml:space="preserve"> always</w:t>
      </w:r>
      <w:r w:rsidR="0061373A">
        <w:t xml:space="preserve"> attribute extreme temperature to other underlying health conditions. </w:t>
      </w:r>
    </w:p>
    <w:p w14:paraId="57D66BFC" w14:textId="3488F488" w:rsidR="005B5AD3" w:rsidRDefault="00DF19AF" w:rsidP="005B5AD3">
      <w:pPr>
        <w:pStyle w:val="Figurecaption"/>
        <w:keepNext/>
      </w:pPr>
      <w:bookmarkStart w:id="7" w:name="_Ref151828826"/>
      <w:r>
        <w:rPr>
          <w:noProof/>
        </w:rPr>
        <w:lastRenderedPageBreak/>
        <w:drawing>
          <wp:inline distT="0" distB="0" distL="0" distR="0" wp14:anchorId="0519C540" wp14:editId="5619A89A">
            <wp:extent cx="5943600" cy="2400300"/>
            <wp:effectExtent l="0" t="0" r="0" b="0"/>
            <wp:docPr id="1921670674" name="Picture 15" descr="A graph of numbers and a number of households affected by the number of househol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0674" name="Picture 15" descr="A graph of numbers and a number of households affected by the number of household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1CF518B3" w14:textId="796B0AA1" w:rsidR="00D30AB4" w:rsidRDefault="005B5AD3" w:rsidP="00D30AB4">
      <w:pPr>
        <w:pStyle w:val="Figurecaption"/>
      </w:pPr>
      <w:bookmarkStart w:id="8" w:name="_Ref151995135"/>
      <w:r>
        <w:t xml:space="preserve">Figure </w:t>
      </w:r>
      <w:r>
        <w:fldChar w:fldCharType="begin"/>
      </w:r>
      <w:r>
        <w:instrText xml:space="preserve"> SEQ Figure \* ARABIC </w:instrText>
      </w:r>
      <w:r>
        <w:fldChar w:fldCharType="separate"/>
      </w:r>
      <w:r w:rsidR="00E54868">
        <w:rPr>
          <w:noProof/>
        </w:rPr>
        <w:t>1</w:t>
      </w:r>
      <w:r>
        <w:fldChar w:fldCharType="end"/>
      </w:r>
      <w:bookmarkEnd w:id="7"/>
      <w:bookmarkEnd w:id="8"/>
      <w:r>
        <w:t xml:space="preserve">: </w:t>
      </w:r>
      <w:r w:rsidR="0035210F">
        <w:t xml:space="preserve">Prevalence of temperature-related morbidity in U.S. households based on the 2015 and 2020 Residential Energy Consumption Survey conducted by the U.S. Energy Information Administration. </w:t>
      </w:r>
      <w:r w:rsidR="00D30AB4">
        <w:t>We calculated p</w:t>
      </w:r>
      <w:r w:rsidR="003118E4">
        <w:t xml:space="preserve">opulation estimates and standard errors </w:t>
      </w:r>
      <w:r w:rsidR="00D30AB4">
        <w:t xml:space="preserve">from sample weights and replicate weights </w:t>
      </w:r>
      <w:r w:rsidR="003118E4">
        <w:t>as recommended by the EIA</w:t>
      </w:r>
      <w:r w:rsidR="0035210F">
        <w:t xml:space="preserve"> </w:t>
      </w:r>
      <w:r w:rsidR="0035210F">
        <w:fldChar w:fldCharType="begin"/>
      </w:r>
      <w:r w:rsidR="000267BE">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fldChar w:fldCharType="separate"/>
      </w:r>
      <w:r w:rsidR="0035210F">
        <w:rPr>
          <w:noProof/>
        </w:rPr>
        <w:t>(EIA 2019; 2023)</w:t>
      </w:r>
      <w:r w:rsidR="0035210F">
        <w:fldChar w:fldCharType="end"/>
      </w:r>
      <w:r w:rsidR="0035210F">
        <w:t>. Error bars represent</w:t>
      </w:r>
      <w:r w:rsidR="00DF19AF">
        <w:t xml:space="preserve"> the</w:t>
      </w:r>
      <w:r w:rsidR="0035210F">
        <w:t xml:space="preserve"> 95% </w:t>
      </w:r>
      <w:r w:rsidR="000A728F">
        <w:t>confidence interval.</w:t>
      </w:r>
    </w:p>
    <w:p w14:paraId="7163F867" w14:textId="414D71ED" w:rsidR="00C5281C" w:rsidRDefault="006A64D0" w:rsidP="00D30AB4">
      <w:pPr>
        <w:pStyle w:val="Heading2List"/>
      </w:pPr>
      <w:r>
        <w:t>Predicting temperature-related morbidity</w:t>
      </w:r>
    </w:p>
    <w:p w14:paraId="6C69383C" w14:textId="11F0AD74" w:rsidR="00D30AB4" w:rsidRDefault="00D30AB4" w:rsidP="00D30AB4">
      <w:r>
        <w:t>We next constructed machine learning models to predict temperature-related morbidity.</w:t>
      </w:r>
      <w:r w:rsidR="00E55F7D">
        <w:t xml:space="preserve"> </w:t>
      </w:r>
      <w:r w:rsidR="00E55F7D">
        <w:fldChar w:fldCharType="begin"/>
      </w:r>
      <w:r w:rsidR="00E55F7D">
        <w:instrText xml:space="preserve"> REF _Ref151995138 \h </w:instrText>
      </w:r>
      <w:r w:rsidR="00E55F7D">
        <w:fldChar w:fldCharType="separate"/>
      </w:r>
      <w:r w:rsidR="00E55F7D">
        <w:t xml:space="preserve">Figure </w:t>
      </w:r>
      <w:r w:rsidR="00E55F7D">
        <w:rPr>
          <w:noProof/>
        </w:rPr>
        <w:t>2</w:t>
      </w:r>
      <w:r w:rsidR="00E55F7D">
        <w:fldChar w:fldCharType="end"/>
      </w:r>
      <w:r w:rsidR="00E55F7D">
        <w:t xml:space="preserve">a) </w:t>
      </w:r>
      <w:r w:rsidR="00DF19AF">
        <w:t xml:space="preserve">shows the performance of all model iterations on three performance metrics: </w:t>
      </w:r>
      <w:proofErr w:type="spellStart"/>
      <w:r w:rsidR="00DF19AF">
        <w:t>i</w:t>
      </w:r>
      <w:proofErr w:type="spellEnd"/>
      <w:r w:rsidR="00DF19AF">
        <w:t>) balanced accuracy, ii) recall, and iii) precision. Each bar represents machine learning models trained from the same set of input features, class imbalance scheme, and</w:t>
      </w:r>
      <w:r w:rsidR="00B218E7">
        <w:t xml:space="preserve"> machine learning</w:t>
      </w:r>
      <w:r w:rsidR="00DF19AF">
        <w:t xml:space="preserve"> algorithm, a total of 80 models. The error bars represent the 95% confidence interval, which we calculated from 30 bootstrapped sample iterations, each with a different training and test data split. Figure 2b) compares the best model performance for machine learning model trained on different sets of input features: demographics or demographics and building characteristics. </w:t>
      </w:r>
    </w:p>
    <w:p w14:paraId="77A50069" w14:textId="75DFF87A" w:rsidR="00B218E7" w:rsidRDefault="00B218E7" w:rsidP="00D30AB4">
      <w:r>
        <w:t xml:space="preserve">The results from </w:t>
      </w:r>
      <w:r>
        <w:fldChar w:fldCharType="begin"/>
      </w:r>
      <w:r>
        <w:instrText xml:space="preserve"> REF _Ref151995138 \h </w:instrText>
      </w:r>
      <w:r>
        <w:fldChar w:fldCharType="separate"/>
      </w:r>
      <w:r>
        <w:t xml:space="preserve">Figure </w:t>
      </w:r>
      <w:r>
        <w:rPr>
          <w:noProof/>
        </w:rPr>
        <w:t>2</w:t>
      </w:r>
      <w:r>
        <w:fldChar w:fldCharType="end"/>
      </w:r>
      <w:r>
        <w:t xml:space="preserve"> show that overall, machine learning models trained on both demographics and building characteristics perform better along all three metrics. </w:t>
      </w:r>
      <w:r w:rsidR="006261C1">
        <w:t xml:space="preserve">For top-performing models, we can correctly classify around 75-85% of households and capture up to 85% of households that experienced temperature-related morbidity. </w:t>
      </w:r>
      <w:r w:rsidR="006261C1">
        <w:t>The model precision, however, is generally quite low, around 5%. This means that the model has many false positives. However, given the high likelihood that temperature-related health hazards are underreported, these households may still benefit from targeted interventions.</w:t>
      </w:r>
    </w:p>
    <w:p w14:paraId="2648F60F" w14:textId="2494B308" w:rsidR="00B218E7" w:rsidRDefault="00B218E7" w:rsidP="00D30AB4">
      <w:r>
        <w:t xml:space="preserve">When comparing the best model from each input features group, we find a 13% increase in balanced accuracy, 15% increase in recall, and 3% increase in precision. These results are statistically significant with a p &lt; 0.001 and have a moderate to strong effect size. </w:t>
      </w:r>
    </w:p>
    <w:p w14:paraId="646583C7" w14:textId="3529EDCD" w:rsidR="00B218E7" w:rsidRDefault="00B218E7" w:rsidP="00D30AB4">
      <w:r>
        <w:t xml:space="preserve">From </w:t>
      </w:r>
      <w:r>
        <w:fldChar w:fldCharType="begin"/>
      </w:r>
      <w:r>
        <w:instrText xml:space="preserve"> REF _Ref151995138 \h </w:instrText>
      </w:r>
      <w:r>
        <w:fldChar w:fldCharType="separate"/>
      </w:r>
      <w:r>
        <w:t xml:space="preserve">Figure </w:t>
      </w:r>
      <w:r>
        <w:rPr>
          <w:noProof/>
        </w:rPr>
        <w:t>2</w:t>
      </w:r>
      <w:r>
        <w:fldChar w:fldCharType="end"/>
      </w:r>
      <w:r>
        <w:t xml:space="preserve">, we see that there are also a set of models in both input features group that did not converge, and therefore do not perform better than a naïve model that always predicts the majority class, in this case no temperature-related morbidity.  </w:t>
      </w:r>
    </w:p>
    <w:p w14:paraId="20167807" w14:textId="7A0CDA89" w:rsidR="005B5AD3" w:rsidRDefault="00EE78BE" w:rsidP="005B5AD3">
      <w:pPr>
        <w:pStyle w:val="Heading1List"/>
        <w:numPr>
          <w:ilvl w:val="0"/>
          <w:numId w:val="0"/>
        </w:numPr>
        <w:ind w:left="360" w:hanging="360"/>
      </w:pPr>
      <w:r>
        <w:rPr>
          <w:noProof/>
        </w:rPr>
        <w:lastRenderedPageBreak/>
        <w:drawing>
          <wp:inline distT="0" distB="0" distL="0" distR="0" wp14:anchorId="5A28A1FE" wp14:editId="64B111B3">
            <wp:extent cx="5689600" cy="5321300"/>
            <wp:effectExtent l="0" t="0" r="0" b="0"/>
            <wp:docPr id="746060622"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0622" name="Picture 18"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9600" cy="5321300"/>
                    </a:xfrm>
                    <a:prstGeom prst="rect">
                      <a:avLst/>
                    </a:prstGeom>
                  </pic:spPr>
                </pic:pic>
              </a:graphicData>
            </a:graphic>
          </wp:inline>
        </w:drawing>
      </w:r>
    </w:p>
    <w:p w14:paraId="313EC516" w14:textId="399D63B2" w:rsidR="00C151D6" w:rsidRDefault="005B5AD3" w:rsidP="005B5AD3">
      <w:pPr>
        <w:pStyle w:val="Figurecaption"/>
      </w:pPr>
      <w:bookmarkStart w:id="9" w:name="_Ref151995138"/>
      <w:r>
        <w:t xml:space="preserve">Figure </w:t>
      </w:r>
      <w:r>
        <w:fldChar w:fldCharType="begin"/>
      </w:r>
      <w:r>
        <w:instrText xml:space="preserve"> SEQ Figure \* ARABIC </w:instrText>
      </w:r>
      <w:r>
        <w:fldChar w:fldCharType="separate"/>
      </w:r>
      <w:r w:rsidR="00E54868">
        <w:rPr>
          <w:noProof/>
        </w:rPr>
        <w:t>2</w:t>
      </w:r>
      <w:r>
        <w:fldChar w:fldCharType="end"/>
      </w:r>
      <w:bookmarkEnd w:id="9"/>
      <w:r>
        <w:t>:</w:t>
      </w:r>
      <w:r w:rsidR="00474A4F">
        <w:t xml:space="preserve"> a) </w:t>
      </w:r>
      <w:r w:rsidR="000267BE">
        <w:t>O</w:t>
      </w:r>
      <w:r w:rsidR="00474A4F">
        <w:t>verall machine learning model performance across all iterations. Each</w:t>
      </w:r>
      <w:r w:rsidR="000267BE">
        <w:t xml:space="preserve"> bar</w:t>
      </w:r>
      <w:r w:rsidR="00474A4F">
        <w:t xml:space="preserve"> represents a machine learning model trained with the same input features, class imbalance handling scheme, and algorithm</w:t>
      </w:r>
      <w:r w:rsidR="000267BE">
        <w:t>. The error bars represent the 95% confidence interval calculated from 30 bootstrapped samples, each with a different training and test data split. We present results for three performance metrics: i) balanced accuracy, ii) recall, and iii) precision. b) shows the performance for the best machine learning model from each input features group. We calculated statistical significance using a paired t</w:t>
      </w:r>
      <w:r w:rsidR="00CA1E1E">
        <w:t>-</w:t>
      </w:r>
      <w:r w:rsidR="000267BE">
        <w:t xml:space="preserve">test for models with the same training and test data split and the effect size from Cohen’s d. We interpreted Cohen’s d as follows:  0.4 </w:t>
      </w:r>
      <w:r w:rsidR="000267BE">
        <w:rPr>
          <w:u w:val="single"/>
        </w:rPr>
        <w:t>&lt;</w:t>
      </w:r>
      <w:r w:rsidR="000267BE">
        <w:t xml:space="preserve"> |d| &lt; 1.15 for </w:t>
      </w:r>
      <w:r w:rsidR="000267BE">
        <w:t>recommended minimum practical effect</w:t>
      </w:r>
      <w:r w:rsidR="000267BE">
        <w:t xml:space="preserve">, 1.15 &lt; |d| &lt; 2.70 for moderate effect, and |d| &gt; 2.70 for strong effect </w:t>
      </w:r>
      <w:r w:rsidR="000267BE">
        <w:fldChar w:fldCharType="begin"/>
      </w:r>
      <w:r w:rsidR="000267BE">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fldChar w:fldCharType="separate"/>
      </w:r>
      <w:r w:rsidR="000267BE">
        <w:rPr>
          <w:noProof/>
        </w:rPr>
        <w:t>(Ferguson 2009)</w:t>
      </w:r>
      <w:r w:rsidR="000267BE">
        <w:fldChar w:fldCharType="end"/>
      </w:r>
      <w:r w:rsidR="006261C1">
        <w:t>.</w:t>
      </w:r>
    </w:p>
    <w:p w14:paraId="16173843" w14:textId="2B2DFE33" w:rsidR="006E762C" w:rsidRDefault="006E762C" w:rsidP="006E762C">
      <w:r>
        <w:fldChar w:fldCharType="begin"/>
      </w:r>
      <w:r>
        <w:instrText xml:space="preserve"> REF _Ref152012299 \h </w:instrText>
      </w:r>
      <w:r>
        <w:fldChar w:fldCharType="separate"/>
      </w:r>
      <w:r>
        <w:t xml:space="preserve">Figure </w:t>
      </w:r>
      <w:r>
        <w:rPr>
          <w:noProof/>
        </w:rPr>
        <w:t>3</w:t>
      </w:r>
      <w:r>
        <w:fldChar w:fldCharType="end"/>
      </w:r>
      <w:r>
        <w:t xml:space="preserve"> reviews the impact of two machine learning model parameters, a) the class imbalance handling scheme and b) the machine learning algorithm on model performance, represented by the balanced accuracy</w:t>
      </w:r>
      <w:r w:rsidR="004E14BC">
        <w:t>, on models that converged.</w:t>
      </w:r>
      <w:r>
        <w:t xml:space="preserve"> </w:t>
      </w:r>
      <w:r w:rsidR="004E14BC">
        <w:t xml:space="preserve">We find that no class imbalance scheme and class weights had poor performance with both input features groups, just slightly better than a naïve model. Up-sampling, SMOTE, and ROSE generally all improved model performance in both input features groups, although there generally is higher variability i.e. a larger interquartile range, for models trained with demographics and building characteristics. We also see that some ROSE models </w:t>
      </w:r>
      <w:r w:rsidR="00106116">
        <w:t>perform</w:t>
      </w:r>
      <w:r w:rsidR="004E14BC">
        <w:t xml:space="preserve"> significantly worse than the naïve model. </w:t>
      </w:r>
    </w:p>
    <w:p w14:paraId="49DBBDFA" w14:textId="77777777" w:rsidR="00BF4B91" w:rsidRDefault="00BF4B91" w:rsidP="00BF4B91">
      <w:pPr>
        <w:pStyle w:val="Figurecaption"/>
        <w:keepNext/>
      </w:pPr>
      <w:r>
        <w:rPr>
          <w:noProof/>
        </w:rPr>
        <w:lastRenderedPageBreak/>
        <w:drawing>
          <wp:inline distT="0" distB="0" distL="0" distR="0" wp14:anchorId="4A32C23C" wp14:editId="396A763F">
            <wp:extent cx="5943600" cy="3657600"/>
            <wp:effectExtent l="0" t="0" r="0" b="0"/>
            <wp:docPr id="956023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2379" name="Picture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EECB505" w14:textId="311F8CED" w:rsidR="00BF4B91" w:rsidRDefault="00BF4B91" w:rsidP="00BF4B91">
      <w:pPr>
        <w:pStyle w:val="Figurecaption"/>
      </w:pPr>
      <w:bookmarkStart w:id="10" w:name="_Ref152012299"/>
      <w:r>
        <w:t xml:space="preserve">Figure </w:t>
      </w:r>
      <w:r>
        <w:fldChar w:fldCharType="begin"/>
      </w:r>
      <w:r>
        <w:instrText xml:space="preserve"> SEQ Figure \* ARABIC </w:instrText>
      </w:r>
      <w:r>
        <w:fldChar w:fldCharType="separate"/>
      </w:r>
      <w:r w:rsidR="00E54868">
        <w:rPr>
          <w:noProof/>
        </w:rPr>
        <w:t>3</w:t>
      </w:r>
      <w:r>
        <w:fldChar w:fldCharType="end"/>
      </w:r>
      <w:bookmarkEnd w:id="10"/>
      <w:r>
        <w:t xml:space="preserve">: Impact of a) class imbalance handling scheme and b) machine learning modeling algorithm on model performance. We excluded results from non-convergent machine learning models. </w:t>
      </w:r>
    </w:p>
    <w:p w14:paraId="59C93CFC" w14:textId="73752BE8" w:rsidR="00106116" w:rsidRDefault="00106116" w:rsidP="00106116">
      <w:r>
        <w:t xml:space="preserve">Among machine learning models, gradient boosting machine and penalized multinomial regression </w:t>
      </w:r>
      <w:r w:rsidR="00FD7A32">
        <w:t>had the best performance with lowest variance</w:t>
      </w:r>
      <w:r w:rsidR="00AB1FE4">
        <w:t xml:space="preserve"> in machine learning models trained with demographic and building characteristics. Other algorithms were able to achieve similar maximum performance but had</w:t>
      </w:r>
      <w:r w:rsidR="00FD7A32">
        <w:t xml:space="preserve"> much higher variance. For machine learning models trained with demographic inputs, </w:t>
      </w:r>
      <w:r w:rsidR="00824B51">
        <w:t xml:space="preserve">most machine learning models had similar performance. For both input groups, generalized linear models had high variance, with some models performing worse than the naïve model. Also, for both input groups, classification and regression trees had poor performance, doing not much better than the naïve model. </w:t>
      </w:r>
    </w:p>
    <w:p w14:paraId="1155C51E" w14:textId="5192496E" w:rsidR="00E54868" w:rsidRDefault="00EE0E74" w:rsidP="00E54868">
      <w:pPr>
        <w:keepNext/>
      </w:pPr>
      <w:r>
        <w:rPr>
          <w:noProof/>
        </w:rPr>
        <w:lastRenderedPageBreak/>
        <w:drawing>
          <wp:inline distT="0" distB="0" distL="0" distR="0" wp14:anchorId="7417F1A6" wp14:editId="67B4A73B">
            <wp:extent cx="5943600" cy="3649980"/>
            <wp:effectExtent l="0" t="0" r="0" b="0"/>
            <wp:docPr id="464889873" name="Picture 20" descr="A graph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89873" name="Picture 20" descr="A graph with text on i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116F3CFC" w14:textId="20D6B399" w:rsidR="00144426" w:rsidRDefault="00E54868" w:rsidP="00E54868">
      <w:pPr>
        <w:pStyle w:val="Figurecaption"/>
      </w:pPr>
      <w:r>
        <w:t xml:space="preserve">Figure </w:t>
      </w:r>
      <w:r>
        <w:fldChar w:fldCharType="begin"/>
      </w:r>
      <w:r>
        <w:instrText xml:space="preserve"> SEQ Figure \* ARABIC </w:instrText>
      </w:r>
      <w:r>
        <w:fldChar w:fldCharType="separate"/>
      </w:r>
      <w:r>
        <w:rPr>
          <w:noProof/>
        </w:rPr>
        <w:t>4</w:t>
      </w:r>
      <w:r>
        <w:fldChar w:fldCharType="end"/>
      </w:r>
      <w:r>
        <w:t xml:space="preserve">: Tradeoff between model performance and computation time </w:t>
      </w:r>
      <w:r w:rsidR="00EE0E74">
        <w:t>by machine learning algorithm</w:t>
      </w:r>
    </w:p>
    <w:p w14:paraId="429EDE77" w14:textId="77777777" w:rsidR="002258E4" w:rsidRDefault="002258E4" w:rsidP="00E54868">
      <w:pPr>
        <w:pStyle w:val="Figurecaption"/>
      </w:pPr>
    </w:p>
    <w:p w14:paraId="7F197037" w14:textId="51D3B714" w:rsidR="00C5281C" w:rsidRDefault="00C5281C" w:rsidP="00C5281C">
      <w:pPr>
        <w:pStyle w:val="Heading2List"/>
      </w:pPr>
      <w:r>
        <w:t>Variable importance</w:t>
      </w:r>
    </w:p>
    <w:p w14:paraId="2B61B5FD" w14:textId="3570A730" w:rsidR="004D18D7" w:rsidRDefault="004D18D7" w:rsidP="00D52117">
      <w:pPr>
        <w:pStyle w:val="Heading1List"/>
      </w:pPr>
      <w:r>
        <w:t>Discussion</w:t>
      </w:r>
    </w:p>
    <w:p w14:paraId="4BC6EF18" w14:textId="6C50A02D" w:rsidR="00805B9F" w:rsidRPr="0094353F" w:rsidRDefault="00805B9F" w:rsidP="00805B9F">
      <w:r>
        <w:t>RECS excludes vacant, seasonal</w:t>
      </w:r>
      <w:r w:rsidR="0005736D">
        <w:t xml:space="preserve"> or vacation homes, and group quarters such as prisons, military barracks, dormitories, and nursing homes.</w:t>
      </w:r>
    </w:p>
    <w:p w14:paraId="4DE65AF0" w14:textId="3679003E" w:rsidR="00850ADA" w:rsidRDefault="00850ADA" w:rsidP="00850ADA">
      <w:pPr>
        <w:pStyle w:val="Heading1"/>
        <w:numPr>
          <w:ilvl w:val="0"/>
          <w:numId w:val="1"/>
        </w:numPr>
        <w:ind w:left="360"/>
      </w:pPr>
      <w:r>
        <w:t>Conclusion</w:t>
      </w:r>
      <w:r w:rsidR="0094353F">
        <w:t>s</w:t>
      </w:r>
    </w:p>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w:t>
      </w:r>
      <w:r w:rsidR="001445B5" w:rsidRPr="002023F5">
        <w:rPr>
          <w:b/>
          <w:bCs/>
        </w:rPr>
        <w:t>Duncan Callaway:</w:t>
      </w:r>
      <w:r w:rsidR="001445B5">
        <w:t xml:space="preserve">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lastRenderedPageBreak/>
        <w:t>Acknowledgement</w:t>
      </w:r>
      <w:r w:rsidR="0094353F" w:rsidRPr="00E37F7F">
        <w:t>s</w:t>
      </w:r>
    </w:p>
    <w:p w14:paraId="2C649C7C" w14:textId="2E18D95B" w:rsidR="002F5A7D" w:rsidRPr="002F5A7D" w:rsidRDefault="001C198C" w:rsidP="002F5A7D">
      <w:r>
        <w:t>The Center for the Built Environment</w:t>
      </w:r>
      <w:r w:rsidR="00595FBC">
        <w:t xml:space="preserve"> at the University of California, Berkeley</w:t>
      </w:r>
      <w:r>
        <w:t xml:space="preserve"> </w:t>
      </w:r>
      <w:r w:rsidR="00874CA3">
        <w:t>funded this study</w:t>
      </w:r>
      <w:r w:rsidR="002F3765">
        <w:t>.</w:t>
      </w:r>
      <w:r w:rsidR="005679B0">
        <w:t xml:space="preserve"> </w:t>
      </w:r>
    </w:p>
    <w:p w14:paraId="5AF1C0E2" w14:textId="77777777" w:rsidR="00D33A39" w:rsidRDefault="00676E06" w:rsidP="00B00160">
      <w:pPr>
        <w:pStyle w:val="Heading1"/>
      </w:pPr>
      <w:r>
        <w:t>Appendix</w:t>
      </w:r>
    </w:p>
    <w:p w14:paraId="21493F96" w14:textId="6319417A" w:rsidR="002B78CD" w:rsidRDefault="002B78CD" w:rsidP="00B00160">
      <w:pPr>
        <w:pStyle w:val="Heading1"/>
        <w:rPr>
          <w:b w:val="0"/>
        </w:rPr>
      </w:pPr>
      <w:r>
        <w:br w:type="page"/>
      </w:r>
    </w:p>
    <w:p w14:paraId="13A3867F" w14:textId="06811682" w:rsidR="00850ADA" w:rsidRDefault="00850ADA" w:rsidP="00E37F7F">
      <w:pPr>
        <w:pStyle w:val="Heading1"/>
      </w:pPr>
      <w:r w:rsidRPr="00E37F7F">
        <w:lastRenderedPageBreak/>
        <w:t>Reference</w:t>
      </w:r>
    </w:p>
    <w:p w14:paraId="3BA9AD5E" w14:textId="26F0D0C3" w:rsidR="00E663BC" w:rsidRPr="00E663BC" w:rsidRDefault="00C42310" w:rsidP="00E663BC">
      <w:r>
        <w:t xml:space="preserve"> </w:t>
      </w:r>
    </w:p>
    <w:sectPr w:rsidR="00E663BC" w:rsidRPr="00E663BC" w:rsidSect="0085782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8B76B" w14:textId="77777777" w:rsidR="008C575F" w:rsidRDefault="008C575F" w:rsidP="00AE4592">
      <w:pPr>
        <w:spacing w:after="0" w:line="240" w:lineRule="auto"/>
      </w:pPr>
      <w:r>
        <w:separator/>
      </w:r>
    </w:p>
  </w:endnote>
  <w:endnote w:type="continuationSeparator" w:id="0">
    <w:p w14:paraId="30747F5E" w14:textId="77777777" w:rsidR="008C575F" w:rsidRDefault="008C575F"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5884D" w14:textId="77777777" w:rsidR="008C575F" w:rsidRDefault="008C575F" w:rsidP="00AE4592">
      <w:pPr>
        <w:spacing w:after="0" w:line="240" w:lineRule="auto"/>
      </w:pPr>
      <w:r>
        <w:separator/>
      </w:r>
    </w:p>
  </w:footnote>
  <w:footnote w:type="continuationSeparator" w:id="0">
    <w:p w14:paraId="75BBFA5D" w14:textId="77777777" w:rsidR="008C575F" w:rsidRDefault="008C575F" w:rsidP="00AE4592">
      <w:pPr>
        <w:spacing w:after="0" w:line="240" w:lineRule="auto"/>
      </w:pPr>
      <w:r>
        <w:continuationSeparator/>
      </w:r>
    </w:p>
  </w:footnote>
  <w:footnote w:id="1">
    <w:p w14:paraId="0A16E89D" w14:textId="09866BDD"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(Berko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heat-related morbidity and mortality</w:t>
      </w:r>
      <w:r w:rsidRPr="003F16F3">
        <w:rPr>
          <w:sz w:val="18"/>
          <w:szCs w:val="18"/>
        </w:rPr>
        <w:t xml:space="preserve"> also apply to extreme cold. </w:t>
      </w:r>
    </w:p>
  </w:footnote>
  <w:footnote w:id="2">
    <w:p w14:paraId="1CEA861B" w14:textId="79859C75" w:rsidR="00EE26FC" w:rsidRDefault="00EE26FC">
      <w:pPr>
        <w:pStyle w:val="FootnoteText"/>
      </w:pPr>
      <w:r>
        <w:rPr>
          <w:rStyle w:val="FootnoteReference"/>
        </w:rPr>
        <w:footnoteRef/>
      </w:r>
      <w:r>
        <w:t xml:space="preserve"> W. McNary (personal communication, July 14, 2021)</w:t>
      </w:r>
    </w:p>
  </w:footnote>
  <w:footnote w:id="3">
    <w:p w14:paraId="600401A9" w14:textId="769EBF9C" w:rsidR="00367B3D" w:rsidRDefault="00367B3D">
      <w:pPr>
        <w:pStyle w:val="FootnoteText"/>
      </w:pPr>
      <w:r>
        <w:rPr>
          <w:rStyle w:val="FootnoteReference"/>
        </w:rPr>
        <w:footnoteRef/>
      </w:r>
      <w:r>
        <w:t xml:space="preserve"> C. A. </w:t>
      </w:r>
      <w:proofErr w:type="spellStart"/>
      <w:r>
        <w:t>Hronis</w:t>
      </w:r>
      <w:proofErr w:type="spellEnd"/>
      <w:r>
        <w:t xml:space="preserve"> (personal communication, August 15,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3"/>
  </w:num>
  <w:num w:numId="2" w16cid:durableId="100686636">
    <w:abstractNumId w:val="15"/>
  </w:num>
  <w:num w:numId="3" w16cid:durableId="906574746">
    <w:abstractNumId w:val="12"/>
  </w:num>
  <w:num w:numId="4" w16cid:durableId="2062048938">
    <w:abstractNumId w:val="19"/>
  </w:num>
  <w:num w:numId="5" w16cid:durableId="696345628">
    <w:abstractNumId w:val="17"/>
  </w:num>
  <w:num w:numId="6" w16cid:durableId="1607422847">
    <w:abstractNumId w:val="25"/>
  </w:num>
  <w:num w:numId="7" w16cid:durableId="15650672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6"/>
  </w:num>
  <w:num w:numId="9" w16cid:durableId="12939451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6"/>
  </w:num>
  <w:num w:numId="12" w16cid:durableId="83190068">
    <w:abstractNumId w:val="18"/>
  </w:num>
  <w:num w:numId="13" w16cid:durableId="1795176840">
    <w:abstractNumId w:val="13"/>
  </w:num>
  <w:num w:numId="14" w16cid:durableId="1088620933">
    <w:abstractNumId w:val="10"/>
  </w:num>
  <w:num w:numId="15" w16cid:durableId="920985585">
    <w:abstractNumId w:val="11"/>
  </w:num>
  <w:num w:numId="16" w16cid:durableId="1117917774">
    <w:abstractNumId w:val="24"/>
  </w:num>
  <w:num w:numId="17" w16cid:durableId="8023107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1"/>
  </w:num>
  <w:num w:numId="30" w16cid:durableId="484204395">
    <w:abstractNumId w:val="22"/>
  </w:num>
  <w:num w:numId="31" w16cid:durableId="1974365403">
    <w:abstractNumId w:val="20"/>
  </w:num>
  <w:num w:numId="32" w16cid:durableId="645744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F5B"/>
    <w:rsid w:val="000459B2"/>
    <w:rsid w:val="00045B07"/>
    <w:rsid w:val="000502AF"/>
    <w:rsid w:val="00050580"/>
    <w:rsid w:val="00050730"/>
    <w:rsid w:val="000516FC"/>
    <w:rsid w:val="000518BE"/>
    <w:rsid w:val="00051A45"/>
    <w:rsid w:val="000547D2"/>
    <w:rsid w:val="000550F0"/>
    <w:rsid w:val="0005736D"/>
    <w:rsid w:val="0006004D"/>
    <w:rsid w:val="00062914"/>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D01"/>
    <w:rsid w:val="00090203"/>
    <w:rsid w:val="000927BB"/>
    <w:rsid w:val="00093321"/>
    <w:rsid w:val="00093416"/>
    <w:rsid w:val="00093E90"/>
    <w:rsid w:val="000A1641"/>
    <w:rsid w:val="000A288E"/>
    <w:rsid w:val="000A3677"/>
    <w:rsid w:val="000A4B2D"/>
    <w:rsid w:val="000A4CF2"/>
    <w:rsid w:val="000A5675"/>
    <w:rsid w:val="000A56D6"/>
    <w:rsid w:val="000A5CE6"/>
    <w:rsid w:val="000A728F"/>
    <w:rsid w:val="000B3BB5"/>
    <w:rsid w:val="000B5D88"/>
    <w:rsid w:val="000B6193"/>
    <w:rsid w:val="000B67AA"/>
    <w:rsid w:val="000B759B"/>
    <w:rsid w:val="000C015F"/>
    <w:rsid w:val="000C0751"/>
    <w:rsid w:val="000C13B5"/>
    <w:rsid w:val="000C1A77"/>
    <w:rsid w:val="000C317B"/>
    <w:rsid w:val="000C40EF"/>
    <w:rsid w:val="000C4F94"/>
    <w:rsid w:val="000D0788"/>
    <w:rsid w:val="000D1006"/>
    <w:rsid w:val="000D468A"/>
    <w:rsid w:val="000D4BAC"/>
    <w:rsid w:val="000D5368"/>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73A0"/>
    <w:rsid w:val="000F75CF"/>
    <w:rsid w:val="0010137A"/>
    <w:rsid w:val="00101CF2"/>
    <w:rsid w:val="001021F4"/>
    <w:rsid w:val="00102A0C"/>
    <w:rsid w:val="001039E0"/>
    <w:rsid w:val="001060D4"/>
    <w:rsid w:val="00106116"/>
    <w:rsid w:val="00106D39"/>
    <w:rsid w:val="001076D9"/>
    <w:rsid w:val="00110078"/>
    <w:rsid w:val="00111CEB"/>
    <w:rsid w:val="00112CCC"/>
    <w:rsid w:val="001132AD"/>
    <w:rsid w:val="00115328"/>
    <w:rsid w:val="00115686"/>
    <w:rsid w:val="001158AC"/>
    <w:rsid w:val="00117094"/>
    <w:rsid w:val="00121142"/>
    <w:rsid w:val="001236FB"/>
    <w:rsid w:val="00124A7A"/>
    <w:rsid w:val="001252A9"/>
    <w:rsid w:val="00125F1F"/>
    <w:rsid w:val="00127591"/>
    <w:rsid w:val="00127644"/>
    <w:rsid w:val="00132669"/>
    <w:rsid w:val="00133354"/>
    <w:rsid w:val="001372E4"/>
    <w:rsid w:val="001374BE"/>
    <w:rsid w:val="00144426"/>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3EB7"/>
    <w:rsid w:val="001A6B21"/>
    <w:rsid w:val="001B0F05"/>
    <w:rsid w:val="001B17BE"/>
    <w:rsid w:val="001B4D5F"/>
    <w:rsid w:val="001C198C"/>
    <w:rsid w:val="001C2BEC"/>
    <w:rsid w:val="001C2F3A"/>
    <w:rsid w:val="001C3501"/>
    <w:rsid w:val="001C5B14"/>
    <w:rsid w:val="001C7846"/>
    <w:rsid w:val="001D443A"/>
    <w:rsid w:val="001D4C80"/>
    <w:rsid w:val="001D7169"/>
    <w:rsid w:val="001E0A37"/>
    <w:rsid w:val="001E1755"/>
    <w:rsid w:val="001E1907"/>
    <w:rsid w:val="001E25F6"/>
    <w:rsid w:val="001E2BF2"/>
    <w:rsid w:val="001E4131"/>
    <w:rsid w:val="001E5B80"/>
    <w:rsid w:val="001E617E"/>
    <w:rsid w:val="001E7121"/>
    <w:rsid w:val="001F3631"/>
    <w:rsid w:val="001F3A61"/>
    <w:rsid w:val="001F5BD9"/>
    <w:rsid w:val="00200E28"/>
    <w:rsid w:val="002023F5"/>
    <w:rsid w:val="002043B3"/>
    <w:rsid w:val="0020452B"/>
    <w:rsid w:val="002058CA"/>
    <w:rsid w:val="00206530"/>
    <w:rsid w:val="002152E2"/>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4EE"/>
    <w:rsid w:val="002605DB"/>
    <w:rsid w:val="00261EFA"/>
    <w:rsid w:val="00267025"/>
    <w:rsid w:val="002717D1"/>
    <w:rsid w:val="002725EF"/>
    <w:rsid w:val="00272B45"/>
    <w:rsid w:val="0027423C"/>
    <w:rsid w:val="00274310"/>
    <w:rsid w:val="00274451"/>
    <w:rsid w:val="00274820"/>
    <w:rsid w:val="00274C74"/>
    <w:rsid w:val="00275E1B"/>
    <w:rsid w:val="00277CFF"/>
    <w:rsid w:val="0028249F"/>
    <w:rsid w:val="00282889"/>
    <w:rsid w:val="002833E9"/>
    <w:rsid w:val="002874D6"/>
    <w:rsid w:val="0029071F"/>
    <w:rsid w:val="00294202"/>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E5134"/>
    <w:rsid w:val="002E59DF"/>
    <w:rsid w:val="002E78D9"/>
    <w:rsid w:val="002F0E75"/>
    <w:rsid w:val="002F0E76"/>
    <w:rsid w:val="002F3765"/>
    <w:rsid w:val="002F4DF2"/>
    <w:rsid w:val="002F5A7D"/>
    <w:rsid w:val="002F5D85"/>
    <w:rsid w:val="0030095F"/>
    <w:rsid w:val="003013E8"/>
    <w:rsid w:val="003015C3"/>
    <w:rsid w:val="00302722"/>
    <w:rsid w:val="00302810"/>
    <w:rsid w:val="003033D3"/>
    <w:rsid w:val="003034C1"/>
    <w:rsid w:val="00307F6D"/>
    <w:rsid w:val="00310FEF"/>
    <w:rsid w:val="003118E4"/>
    <w:rsid w:val="00312ADE"/>
    <w:rsid w:val="00313C42"/>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F1AAD"/>
    <w:rsid w:val="003F504D"/>
    <w:rsid w:val="003F534F"/>
    <w:rsid w:val="003F6D06"/>
    <w:rsid w:val="004031F2"/>
    <w:rsid w:val="00405503"/>
    <w:rsid w:val="00405A27"/>
    <w:rsid w:val="00412023"/>
    <w:rsid w:val="00412F3A"/>
    <w:rsid w:val="004138B0"/>
    <w:rsid w:val="00413E2E"/>
    <w:rsid w:val="004144F8"/>
    <w:rsid w:val="004206D8"/>
    <w:rsid w:val="00420AD7"/>
    <w:rsid w:val="0042172E"/>
    <w:rsid w:val="00422202"/>
    <w:rsid w:val="00422786"/>
    <w:rsid w:val="0042284E"/>
    <w:rsid w:val="004229A2"/>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5584"/>
    <w:rsid w:val="004662B4"/>
    <w:rsid w:val="0046691E"/>
    <w:rsid w:val="004707EC"/>
    <w:rsid w:val="00470C9D"/>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90E0F"/>
    <w:rsid w:val="00492598"/>
    <w:rsid w:val="00495B28"/>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24D"/>
    <w:rsid w:val="004D258B"/>
    <w:rsid w:val="004D2BEB"/>
    <w:rsid w:val="004D2C58"/>
    <w:rsid w:val="004D7661"/>
    <w:rsid w:val="004D7AFE"/>
    <w:rsid w:val="004D7B35"/>
    <w:rsid w:val="004E055D"/>
    <w:rsid w:val="004E14BC"/>
    <w:rsid w:val="004E3B93"/>
    <w:rsid w:val="004E3D6B"/>
    <w:rsid w:val="004E4228"/>
    <w:rsid w:val="004E4B9D"/>
    <w:rsid w:val="004E60ED"/>
    <w:rsid w:val="004E7892"/>
    <w:rsid w:val="004F160D"/>
    <w:rsid w:val="004F1D12"/>
    <w:rsid w:val="004F368C"/>
    <w:rsid w:val="004F5C57"/>
    <w:rsid w:val="004F5FA2"/>
    <w:rsid w:val="004F65CD"/>
    <w:rsid w:val="004F7CD2"/>
    <w:rsid w:val="005010F8"/>
    <w:rsid w:val="00501150"/>
    <w:rsid w:val="00503818"/>
    <w:rsid w:val="00503FFE"/>
    <w:rsid w:val="00504A12"/>
    <w:rsid w:val="00505C40"/>
    <w:rsid w:val="00511ED0"/>
    <w:rsid w:val="00514F8B"/>
    <w:rsid w:val="005157A9"/>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216C"/>
    <w:rsid w:val="005642B8"/>
    <w:rsid w:val="00564A1B"/>
    <w:rsid w:val="00565C19"/>
    <w:rsid w:val="00566E9B"/>
    <w:rsid w:val="005671DE"/>
    <w:rsid w:val="005679B0"/>
    <w:rsid w:val="00567EC6"/>
    <w:rsid w:val="00572867"/>
    <w:rsid w:val="00575165"/>
    <w:rsid w:val="00575941"/>
    <w:rsid w:val="00575CBD"/>
    <w:rsid w:val="00577C3B"/>
    <w:rsid w:val="0058043D"/>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36F"/>
    <w:rsid w:val="005B5AD3"/>
    <w:rsid w:val="005B606E"/>
    <w:rsid w:val="005C0AEB"/>
    <w:rsid w:val="005C1C24"/>
    <w:rsid w:val="005C21ED"/>
    <w:rsid w:val="005D1769"/>
    <w:rsid w:val="005D5EAB"/>
    <w:rsid w:val="005D6626"/>
    <w:rsid w:val="005D6E94"/>
    <w:rsid w:val="005E0A0E"/>
    <w:rsid w:val="005E23F0"/>
    <w:rsid w:val="005E2CA9"/>
    <w:rsid w:val="005E40E6"/>
    <w:rsid w:val="005E45AA"/>
    <w:rsid w:val="005E48B5"/>
    <w:rsid w:val="005E6B24"/>
    <w:rsid w:val="005E7CB0"/>
    <w:rsid w:val="005F0C76"/>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373A"/>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98A"/>
    <w:rsid w:val="006C1F84"/>
    <w:rsid w:val="006C347B"/>
    <w:rsid w:val="006C34C5"/>
    <w:rsid w:val="006C4562"/>
    <w:rsid w:val="006C61B1"/>
    <w:rsid w:val="006C6FB9"/>
    <w:rsid w:val="006D16F2"/>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03DC"/>
    <w:rsid w:val="0076382D"/>
    <w:rsid w:val="00763EC4"/>
    <w:rsid w:val="007648F9"/>
    <w:rsid w:val="00765870"/>
    <w:rsid w:val="007664A7"/>
    <w:rsid w:val="00771579"/>
    <w:rsid w:val="00771ECD"/>
    <w:rsid w:val="00772E49"/>
    <w:rsid w:val="0077425A"/>
    <w:rsid w:val="007807D8"/>
    <w:rsid w:val="00781A6D"/>
    <w:rsid w:val="00781FBB"/>
    <w:rsid w:val="00783384"/>
    <w:rsid w:val="00783AE8"/>
    <w:rsid w:val="007848DE"/>
    <w:rsid w:val="00790B9E"/>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FAE"/>
    <w:rsid w:val="00805B9F"/>
    <w:rsid w:val="0080613F"/>
    <w:rsid w:val="00807346"/>
    <w:rsid w:val="008074AB"/>
    <w:rsid w:val="00812A9F"/>
    <w:rsid w:val="00812F32"/>
    <w:rsid w:val="00813D18"/>
    <w:rsid w:val="00815C83"/>
    <w:rsid w:val="00816F41"/>
    <w:rsid w:val="0082049E"/>
    <w:rsid w:val="00821785"/>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5E9D"/>
    <w:rsid w:val="00845ED4"/>
    <w:rsid w:val="0084626C"/>
    <w:rsid w:val="0084793B"/>
    <w:rsid w:val="00850ADA"/>
    <w:rsid w:val="00852A5F"/>
    <w:rsid w:val="00853CB5"/>
    <w:rsid w:val="00854EAB"/>
    <w:rsid w:val="00857812"/>
    <w:rsid w:val="0085782D"/>
    <w:rsid w:val="00860310"/>
    <w:rsid w:val="00867688"/>
    <w:rsid w:val="00870A3C"/>
    <w:rsid w:val="00872EB9"/>
    <w:rsid w:val="00873F90"/>
    <w:rsid w:val="00874715"/>
    <w:rsid w:val="008747BA"/>
    <w:rsid w:val="00874CA3"/>
    <w:rsid w:val="008756BA"/>
    <w:rsid w:val="00877615"/>
    <w:rsid w:val="008802C6"/>
    <w:rsid w:val="008819F2"/>
    <w:rsid w:val="00883912"/>
    <w:rsid w:val="00884B30"/>
    <w:rsid w:val="00887A62"/>
    <w:rsid w:val="008918B8"/>
    <w:rsid w:val="00891C29"/>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717C"/>
    <w:rsid w:val="008B79DE"/>
    <w:rsid w:val="008C0F20"/>
    <w:rsid w:val="008C1980"/>
    <w:rsid w:val="008C1A4F"/>
    <w:rsid w:val="008C4766"/>
    <w:rsid w:val="008C4B83"/>
    <w:rsid w:val="008C575F"/>
    <w:rsid w:val="008C7BDB"/>
    <w:rsid w:val="008D0432"/>
    <w:rsid w:val="008D0AF3"/>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05C1"/>
    <w:rsid w:val="00933F30"/>
    <w:rsid w:val="00934D50"/>
    <w:rsid w:val="00936357"/>
    <w:rsid w:val="00937DB8"/>
    <w:rsid w:val="0094353F"/>
    <w:rsid w:val="00945AEA"/>
    <w:rsid w:val="00945DA7"/>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42"/>
    <w:rsid w:val="00987ED6"/>
    <w:rsid w:val="00993DD2"/>
    <w:rsid w:val="00995AB3"/>
    <w:rsid w:val="00995F53"/>
    <w:rsid w:val="0099672A"/>
    <w:rsid w:val="009976E5"/>
    <w:rsid w:val="00997913"/>
    <w:rsid w:val="009A1EC4"/>
    <w:rsid w:val="009A2AB8"/>
    <w:rsid w:val="009A44FD"/>
    <w:rsid w:val="009A46A1"/>
    <w:rsid w:val="009A4DFE"/>
    <w:rsid w:val="009A532E"/>
    <w:rsid w:val="009A7929"/>
    <w:rsid w:val="009B03DA"/>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6370"/>
    <w:rsid w:val="009F71F4"/>
    <w:rsid w:val="009F7225"/>
    <w:rsid w:val="00A00600"/>
    <w:rsid w:val="00A00CD8"/>
    <w:rsid w:val="00A0128F"/>
    <w:rsid w:val="00A02147"/>
    <w:rsid w:val="00A054A5"/>
    <w:rsid w:val="00A07011"/>
    <w:rsid w:val="00A070C8"/>
    <w:rsid w:val="00A139B2"/>
    <w:rsid w:val="00A1410E"/>
    <w:rsid w:val="00A14C96"/>
    <w:rsid w:val="00A20CCC"/>
    <w:rsid w:val="00A20ECE"/>
    <w:rsid w:val="00A232DA"/>
    <w:rsid w:val="00A2348B"/>
    <w:rsid w:val="00A2453B"/>
    <w:rsid w:val="00A2524A"/>
    <w:rsid w:val="00A25549"/>
    <w:rsid w:val="00A2772E"/>
    <w:rsid w:val="00A30BE5"/>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1FE4"/>
    <w:rsid w:val="00AB26DA"/>
    <w:rsid w:val="00AB35D0"/>
    <w:rsid w:val="00AB37C2"/>
    <w:rsid w:val="00AB79BB"/>
    <w:rsid w:val="00AB7EB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BC9"/>
    <w:rsid w:val="00B01CED"/>
    <w:rsid w:val="00B021AC"/>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2BD4"/>
    <w:rsid w:val="00B33791"/>
    <w:rsid w:val="00B338BA"/>
    <w:rsid w:val="00B3465D"/>
    <w:rsid w:val="00B35535"/>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152B"/>
    <w:rsid w:val="00BB2739"/>
    <w:rsid w:val="00BB2970"/>
    <w:rsid w:val="00BB2DE0"/>
    <w:rsid w:val="00BB5FED"/>
    <w:rsid w:val="00BB6023"/>
    <w:rsid w:val="00BB6C6B"/>
    <w:rsid w:val="00BB7334"/>
    <w:rsid w:val="00BC13B5"/>
    <w:rsid w:val="00BC2ACE"/>
    <w:rsid w:val="00BC36D6"/>
    <w:rsid w:val="00BC495B"/>
    <w:rsid w:val="00BC66FC"/>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106C8"/>
    <w:rsid w:val="00C10B3E"/>
    <w:rsid w:val="00C1100A"/>
    <w:rsid w:val="00C11518"/>
    <w:rsid w:val="00C12940"/>
    <w:rsid w:val="00C13496"/>
    <w:rsid w:val="00C13C60"/>
    <w:rsid w:val="00C142C3"/>
    <w:rsid w:val="00C151D6"/>
    <w:rsid w:val="00C15E7E"/>
    <w:rsid w:val="00C170BA"/>
    <w:rsid w:val="00C20CFE"/>
    <w:rsid w:val="00C232EA"/>
    <w:rsid w:val="00C236CD"/>
    <w:rsid w:val="00C257AD"/>
    <w:rsid w:val="00C26EFC"/>
    <w:rsid w:val="00C35781"/>
    <w:rsid w:val="00C35CCC"/>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3796"/>
    <w:rsid w:val="00C54F6F"/>
    <w:rsid w:val="00C55331"/>
    <w:rsid w:val="00C57B21"/>
    <w:rsid w:val="00C600B4"/>
    <w:rsid w:val="00C626C9"/>
    <w:rsid w:val="00C63E79"/>
    <w:rsid w:val="00C64391"/>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2EEF"/>
    <w:rsid w:val="00CC31C9"/>
    <w:rsid w:val="00CC39D8"/>
    <w:rsid w:val="00CC4A1A"/>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C30"/>
    <w:rsid w:val="00CF45AB"/>
    <w:rsid w:val="00CF482F"/>
    <w:rsid w:val="00CF76F9"/>
    <w:rsid w:val="00D00B11"/>
    <w:rsid w:val="00D00E6B"/>
    <w:rsid w:val="00D024AD"/>
    <w:rsid w:val="00D036AF"/>
    <w:rsid w:val="00D06019"/>
    <w:rsid w:val="00D066D9"/>
    <w:rsid w:val="00D11F23"/>
    <w:rsid w:val="00D13CC3"/>
    <w:rsid w:val="00D14470"/>
    <w:rsid w:val="00D14861"/>
    <w:rsid w:val="00D14F67"/>
    <w:rsid w:val="00D159E6"/>
    <w:rsid w:val="00D15D56"/>
    <w:rsid w:val="00D16A20"/>
    <w:rsid w:val="00D21425"/>
    <w:rsid w:val="00D2391D"/>
    <w:rsid w:val="00D23AF7"/>
    <w:rsid w:val="00D25567"/>
    <w:rsid w:val="00D26F50"/>
    <w:rsid w:val="00D27259"/>
    <w:rsid w:val="00D277CF"/>
    <w:rsid w:val="00D27F42"/>
    <w:rsid w:val="00D30AB4"/>
    <w:rsid w:val="00D30F53"/>
    <w:rsid w:val="00D33A39"/>
    <w:rsid w:val="00D34EA6"/>
    <w:rsid w:val="00D36EE5"/>
    <w:rsid w:val="00D412DA"/>
    <w:rsid w:val="00D41655"/>
    <w:rsid w:val="00D41C07"/>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71B37"/>
    <w:rsid w:val="00D71DE3"/>
    <w:rsid w:val="00D72357"/>
    <w:rsid w:val="00D747C5"/>
    <w:rsid w:val="00D74B10"/>
    <w:rsid w:val="00D80F83"/>
    <w:rsid w:val="00D81991"/>
    <w:rsid w:val="00D82CBE"/>
    <w:rsid w:val="00D83DA9"/>
    <w:rsid w:val="00D860CE"/>
    <w:rsid w:val="00D86566"/>
    <w:rsid w:val="00D866CD"/>
    <w:rsid w:val="00D87D57"/>
    <w:rsid w:val="00D907E7"/>
    <w:rsid w:val="00D90ECB"/>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B7EB6"/>
    <w:rsid w:val="00DC1328"/>
    <w:rsid w:val="00DC4A3C"/>
    <w:rsid w:val="00DD7D98"/>
    <w:rsid w:val="00DE1297"/>
    <w:rsid w:val="00DE4323"/>
    <w:rsid w:val="00DE694C"/>
    <w:rsid w:val="00DE77B3"/>
    <w:rsid w:val="00DF19AF"/>
    <w:rsid w:val="00DF260D"/>
    <w:rsid w:val="00DF3B87"/>
    <w:rsid w:val="00DF4C7C"/>
    <w:rsid w:val="00DF556F"/>
    <w:rsid w:val="00DF5D0D"/>
    <w:rsid w:val="00DF628A"/>
    <w:rsid w:val="00E004D7"/>
    <w:rsid w:val="00E0114C"/>
    <w:rsid w:val="00E02D16"/>
    <w:rsid w:val="00E04C8D"/>
    <w:rsid w:val="00E077E1"/>
    <w:rsid w:val="00E10D48"/>
    <w:rsid w:val="00E1173F"/>
    <w:rsid w:val="00E11856"/>
    <w:rsid w:val="00E12F9E"/>
    <w:rsid w:val="00E14543"/>
    <w:rsid w:val="00E15A59"/>
    <w:rsid w:val="00E202E0"/>
    <w:rsid w:val="00E20517"/>
    <w:rsid w:val="00E2340B"/>
    <w:rsid w:val="00E23DC5"/>
    <w:rsid w:val="00E23E01"/>
    <w:rsid w:val="00E27C04"/>
    <w:rsid w:val="00E301C1"/>
    <w:rsid w:val="00E30ABC"/>
    <w:rsid w:val="00E317C5"/>
    <w:rsid w:val="00E31888"/>
    <w:rsid w:val="00E359C1"/>
    <w:rsid w:val="00E36EC3"/>
    <w:rsid w:val="00E37F7F"/>
    <w:rsid w:val="00E41D8D"/>
    <w:rsid w:val="00E44A0D"/>
    <w:rsid w:val="00E51843"/>
    <w:rsid w:val="00E54868"/>
    <w:rsid w:val="00E55A3D"/>
    <w:rsid w:val="00E55CB9"/>
    <w:rsid w:val="00E55F7D"/>
    <w:rsid w:val="00E57ABE"/>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B0857"/>
    <w:rsid w:val="00EB0F0F"/>
    <w:rsid w:val="00EB130A"/>
    <w:rsid w:val="00EB1D10"/>
    <w:rsid w:val="00EB2658"/>
    <w:rsid w:val="00EB2CAE"/>
    <w:rsid w:val="00EB5318"/>
    <w:rsid w:val="00EC1B97"/>
    <w:rsid w:val="00EC209A"/>
    <w:rsid w:val="00EC4798"/>
    <w:rsid w:val="00EC4C7F"/>
    <w:rsid w:val="00EC52E1"/>
    <w:rsid w:val="00EC650E"/>
    <w:rsid w:val="00EC74CF"/>
    <w:rsid w:val="00EC74F1"/>
    <w:rsid w:val="00EC79CC"/>
    <w:rsid w:val="00ED00ED"/>
    <w:rsid w:val="00ED0A50"/>
    <w:rsid w:val="00ED50F0"/>
    <w:rsid w:val="00ED54D3"/>
    <w:rsid w:val="00ED634A"/>
    <w:rsid w:val="00ED6697"/>
    <w:rsid w:val="00ED682F"/>
    <w:rsid w:val="00EE070C"/>
    <w:rsid w:val="00EE0E74"/>
    <w:rsid w:val="00EE1188"/>
    <w:rsid w:val="00EE24E1"/>
    <w:rsid w:val="00EE252F"/>
    <w:rsid w:val="00EE26F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202A8"/>
    <w:rsid w:val="00F211C8"/>
    <w:rsid w:val="00F224CB"/>
    <w:rsid w:val="00F26CFB"/>
    <w:rsid w:val="00F305DE"/>
    <w:rsid w:val="00F30B7D"/>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078"/>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CEA"/>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E9F33F47-7288-364E-BD77-48DDAE89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fa@berkeley.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15</Pages>
  <Words>36711</Words>
  <Characters>209257</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19</cp:revision>
  <dcterms:created xsi:type="dcterms:W3CDTF">2023-11-23T20:17:00Z</dcterms:created>
  <dcterms:modified xsi:type="dcterms:W3CDTF">2023-11-28T06:43:00Z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id="QRjJ0sb8"/&gt;&lt;style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