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bookmarkStart w:id="0" w:name="_Ref151832870"/>
      <w:r>
        <w:t>Background</w:t>
      </w:r>
      <w:bookmarkEnd w:id="0"/>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w:t>
      </w:r>
      <w:r>
        <w:lastRenderedPageBreak/>
        <w:t xml:space="preserve">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1" w:name="_Ref150108267"/>
      <w:r>
        <w:t>Municipal planning for extreme temperatures</w:t>
      </w:r>
      <w:bookmarkEnd w:id="1"/>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w:t>
      </w:r>
      <w:r w:rsidR="006B5092">
        <w:lastRenderedPageBreak/>
        <w:t xml:space="preserve">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lastRenderedPageBreak/>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363D7E25"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The 2015 survey cycle collected data through a combination of computer-assisted personal interviews</w:t>
      </w:r>
      <w:r w:rsidR="00D02B2D">
        <w:t xml:space="preserve">, </w:t>
      </w:r>
      <w:r w:rsidR="0025391F">
        <w:t xml:space="preserve">internet, and mailings.  The 2020 survey cycle relied entirely on self-administered web and paper questionaries. </w:t>
      </w:r>
      <w:r w:rsidR="0082049E">
        <w:t xml:space="preserve">Because there were no in-person interviews, the 2020 survey did not </w:t>
      </w:r>
      <w:r w:rsidR="00D02B2D">
        <w:t>use</w:t>
      </w:r>
      <w:r w:rsidR="0082049E">
        <w:t xml:space="preserve">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two survey years also had minor differences in variable coding, which we describe in more detail in Appendix X. </w:t>
      </w:r>
    </w:p>
    <w:p w14:paraId="323DC616" w14:textId="73901CE3" w:rsidR="0082049E" w:rsidRDefault="00EE070C" w:rsidP="008D0432">
      <w:r>
        <w:lastRenderedPageBreak/>
        <w:fldChar w:fldCharType="begin"/>
      </w:r>
      <w:r>
        <w:instrText xml:space="preserve"> REF _Ref80686156 \h </w:instrText>
      </w:r>
      <w:r>
        <w:fldChar w:fldCharType="separate"/>
      </w:r>
      <w:r>
        <w:t>Ta</w:t>
      </w:r>
      <w:r>
        <w:t>b</w:t>
      </w:r>
      <w:r>
        <w:t xml:space="preserve">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xml:space="preserve">. </w:t>
      </w:r>
      <w:r w:rsidR="003118E4">
        <w:t>However, for population estimate, we reviewed the results of ea</w:t>
      </w:r>
      <w:r w:rsidR="00D02B2D">
        <w:t>ch</w:t>
      </w:r>
      <w:r w:rsidR="003118E4">
        <w:t xml:space="preserve"> year separately due to differences in sampling methods. </w:t>
      </w:r>
      <w:r w:rsidR="003118E4">
        <w:t xml:space="preserve">For each year, RECS calculates the sample weight, which indicates the number of households in the population that observation represents. </w:t>
      </w:r>
      <w:r w:rsidR="00D02B2D">
        <w:t xml:space="preserve">Inclusion of replicate weights allows for </w:t>
      </w:r>
      <w:r w:rsidR="003118E4">
        <w:t>calculat</w:t>
      </w:r>
      <w:r w:rsidR="00D02B2D">
        <w:t>ion of</w:t>
      </w:r>
      <w:r w:rsidR="003118E4">
        <w:t xml:space="preserve"> the sampling error. </w:t>
      </w:r>
      <w:r w:rsidR="00D02B2D">
        <w:t>We followed the EIA’s</w:t>
      </w:r>
      <w:r w:rsidR="003118E4">
        <w:t xml:space="preserve"> procedure for calculating population estimates, standard errors, and confidence intervals in R </w:t>
      </w:r>
      <w:r w:rsidR="003118E4">
        <w:fldChar w:fldCharType="begin"/>
      </w:r>
      <w:r w:rsidR="003118E4">
        <w:instrText xml:space="preserve"> ADDIN ZOTERO_ITEM CSL_CITATION {"citationID":"NOaO1hV5","properties":{"formattedCitation":"(EIA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118E4">
        <w:fldChar w:fldCharType="separate"/>
      </w:r>
      <w:r w:rsidR="003118E4">
        <w:rPr>
          <w:noProof/>
        </w:rPr>
        <w:t>(EIA 2019; 2023)</w:t>
      </w:r>
      <w:r w:rsidR="003118E4">
        <w:fldChar w:fldCharType="end"/>
      </w:r>
      <w:r w:rsidR="003118E4">
        <w:t xml:space="preserve">. </w:t>
      </w:r>
    </w:p>
    <w:p w14:paraId="190C21ED" w14:textId="01F0EE47" w:rsidR="008D0432" w:rsidRDefault="008D0432" w:rsidP="008D0432">
      <w:pPr>
        <w:pStyle w:val="Tablecaption"/>
      </w:pPr>
      <w:bookmarkStart w:id="2" w:name="_Ref80686156"/>
      <w:r>
        <w:t xml:space="preserve">Table </w:t>
      </w:r>
      <w:r w:rsidR="001372E4">
        <w:fldChar w:fldCharType="begin"/>
      </w:r>
      <w:r w:rsidR="001372E4">
        <w:instrText xml:space="preserve"> SEQ Table \* ARABIC </w:instrText>
      </w:r>
      <w:r w:rsidR="001372E4">
        <w:fldChar w:fldCharType="separate"/>
      </w:r>
      <w:r w:rsidR="00C41E03">
        <w:rPr>
          <w:noProof/>
        </w:rPr>
        <w:t>1</w:t>
      </w:r>
      <w:r w:rsidR="001372E4">
        <w:rPr>
          <w:noProof/>
        </w:rPr>
        <w:fldChar w:fldCharType="end"/>
      </w:r>
      <w:bookmarkEnd w:id="2"/>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372E4">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372E4">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372E4">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372E4">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372E4">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4D9C919C"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D46F7C">
        <w:t>25</w:t>
      </w:r>
      <w:r w:rsidR="006C61B1">
        <w:t xml:space="preserve"> </w:t>
      </w:r>
      <w:r>
        <w:t>related to</w:t>
      </w:r>
      <w:r w:rsidR="00C87584">
        <w:t xml:space="preserve"> either vulnerability or exposure to extreme temperature</w:t>
      </w:r>
      <w:r>
        <w:t xml:space="preserve">. These variables </w:t>
      </w:r>
      <w:r w:rsidR="000927BB">
        <w:t>fall under</w:t>
      </w:r>
      <w:r>
        <w:t xml:space="preserve"> </w:t>
      </w:r>
      <w:r w:rsidR="00D02B2D">
        <w:t>3</w:t>
      </w:r>
      <w:r>
        <w:t xml:space="preserve"> categories: climate, demographic</w:t>
      </w:r>
      <w:r w:rsidR="00D02B2D">
        <w:t>s</w:t>
      </w:r>
      <w:r>
        <w:t xml:space="preserve">, </w:t>
      </w:r>
      <w:r w:rsidR="00D02B2D">
        <w:t>and buildings</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1372E4">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D46F7C">
        <w:t xml:space="preserve">. </w:t>
      </w:r>
    </w:p>
    <w:p w14:paraId="562F5CE7" w14:textId="7A790387" w:rsidR="0056216C" w:rsidRDefault="0056216C" w:rsidP="008D0432">
      <w:r>
        <w:t xml:space="preserve">By default, the RECS dataset encodes all variables as numerical quantities. We retained the numerical values for truly numerical household characteristics like the construction age, categorical household characteristics describing ordinal data such as the level of insulation, or binary variables such as presence of back-up generator or on-site solar. We converted categorical variables into informed groups based on the literature on heat and cold-related vulnerability for example non-white versus individual racial </w:t>
      </w:r>
      <w:r w:rsidR="00D02B2D">
        <w:t xml:space="preserve">and ethnic </w:t>
      </w:r>
      <w:r>
        <w:t>categories</w:t>
      </w:r>
      <w:r>
        <w:t xml:space="preserve">. </w:t>
      </w:r>
      <w:r>
        <w:t>W</w:t>
      </w:r>
      <w:r>
        <w:t xml:space="preserve">e </w:t>
      </w:r>
      <w:r>
        <w:t xml:space="preserve">also derived new variables </w:t>
      </w:r>
      <w:r>
        <w:t xml:space="preserve">of interest such as poverty, which combines the number of household members with income level and thermal mass, which combines insulation level and exterior wall or roof material. </w:t>
      </w:r>
    </w:p>
    <w:p w14:paraId="30F64462" w14:textId="096F5F26" w:rsidR="009A532E" w:rsidRDefault="009A532E" w:rsidP="009A532E">
      <w:pPr>
        <w:pStyle w:val="Heading3List"/>
      </w:pPr>
      <w:r>
        <w:t>Climate</w:t>
      </w:r>
    </w:p>
    <w:p w14:paraId="568B7228" w14:textId="43B68169"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w:t>
      </w:r>
      <w:r w:rsidR="00D02B2D">
        <w:t>extreme</w:t>
      </w:r>
      <w:r w:rsidR="008D0432">
        <w:t xml:space="preserve"> temperatures. Due to the EIA’s objective to forecast energy demand, climatic variables in RECS are oriented towards HVAC system </w:t>
      </w:r>
      <w:r w:rsidR="000516FC">
        <w:t>operation</w:t>
      </w:r>
      <w:r w:rsidR="008D0432">
        <w:t>, such as cooling and heating design-temperature</w:t>
      </w:r>
      <w:r w:rsidR="00323243">
        <w:t xml:space="preserve">. </w:t>
      </w:r>
    </w:p>
    <w:p w14:paraId="62DE423B" w14:textId="5063B30A" w:rsidR="009A532E" w:rsidRDefault="009A532E" w:rsidP="009A532E">
      <w:pPr>
        <w:pStyle w:val="Heading3List"/>
      </w:pPr>
      <w:r>
        <w:t>Demographic</w:t>
      </w:r>
      <w:r w:rsidR="002833A0">
        <w:t>s</w:t>
      </w:r>
    </w:p>
    <w:p w14:paraId="36C70D4F" w14:textId="50CEADE8" w:rsidR="0056216C" w:rsidRDefault="008D0432" w:rsidP="0056216C">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w:t>
      </w:r>
      <w:r>
        <w:lastRenderedPageBreak/>
        <w:t xml:space="preserve">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w:t>
      </w:r>
      <w:r w:rsidR="002833A0">
        <w:t xml:space="preserve">also </w:t>
      </w:r>
      <w:r>
        <w:t xml:space="preserve">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bookmarkStart w:id="3" w:name="_Ref77436719"/>
      <w:bookmarkStart w:id="4" w:name="_Ref151582921"/>
    </w:p>
    <w:p w14:paraId="3767D6B5" w14:textId="510CC1EE" w:rsidR="001076D9" w:rsidRDefault="001076D9" w:rsidP="001076D9">
      <w:pPr>
        <w:pStyle w:val="Figurecaption"/>
      </w:pPr>
      <w:r>
        <w:t xml:space="preserve">Table </w:t>
      </w:r>
      <w:r>
        <w:fldChar w:fldCharType="begin"/>
      </w:r>
      <w:r>
        <w:instrText xml:space="preserve"> SEQ Table \* ARABIC </w:instrText>
      </w:r>
      <w:r>
        <w:fldChar w:fldCharType="separate"/>
      </w:r>
      <w:r w:rsidR="00C41E03">
        <w:rPr>
          <w:noProof/>
        </w:rPr>
        <w:t>2</w:t>
      </w:r>
      <w:r>
        <w:rPr>
          <w:noProof/>
        </w:rPr>
        <w:fldChar w:fldCharType="end"/>
      </w:r>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00"/>
        <w:gridCol w:w="4810"/>
        <w:gridCol w:w="770"/>
      </w:tblGrid>
      <w:tr w:rsidR="002833A0" w:rsidRPr="00891DE7" w14:paraId="5F245EEB" w14:textId="77777777" w:rsidTr="00891DE7">
        <w:trPr>
          <w:tblHeader/>
        </w:trPr>
        <w:tc>
          <w:tcPr>
            <w:tcW w:w="1980" w:type="dxa"/>
            <w:tcBorders>
              <w:top w:val="single" w:sz="4" w:space="0" w:color="DBDBDB" w:themeColor="accent3" w:themeTint="66"/>
              <w:bottom w:val="single" w:sz="4" w:space="0" w:color="DBDBDB" w:themeColor="accent3" w:themeTint="66"/>
            </w:tcBorders>
            <w:shd w:val="clear" w:color="auto" w:fill="auto"/>
            <w:vAlign w:val="center"/>
          </w:tcPr>
          <w:p w14:paraId="25A4A29D" w14:textId="77777777" w:rsidR="002833A0" w:rsidRPr="00891DE7" w:rsidRDefault="002833A0" w:rsidP="00B9614A">
            <w:pPr>
              <w:pStyle w:val="Tabletext"/>
              <w:rPr>
                <w:b/>
                <w:bCs/>
                <w:sz w:val="20"/>
                <w:szCs w:val="20"/>
              </w:rPr>
            </w:pPr>
            <w:r w:rsidRPr="00891DE7">
              <w:rPr>
                <w:b/>
                <w:bCs/>
                <w:sz w:val="20"/>
                <w:szCs w:val="20"/>
              </w:rPr>
              <w:t>Category</w:t>
            </w:r>
          </w:p>
        </w:tc>
        <w:tc>
          <w:tcPr>
            <w:tcW w:w="1800" w:type="dxa"/>
            <w:tcBorders>
              <w:top w:val="single" w:sz="4" w:space="0" w:color="DBDBDB" w:themeColor="accent3" w:themeTint="66"/>
              <w:bottom w:val="single" w:sz="4" w:space="0" w:color="DBDBDB" w:themeColor="accent3" w:themeTint="66"/>
            </w:tcBorders>
            <w:shd w:val="clear" w:color="auto" w:fill="auto"/>
            <w:vAlign w:val="center"/>
          </w:tcPr>
          <w:p w14:paraId="37FF381A" w14:textId="77777777" w:rsidR="002833A0" w:rsidRPr="00891DE7" w:rsidRDefault="002833A0" w:rsidP="00B9614A">
            <w:pPr>
              <w:pStyle w:val="Tabletext"/>
              <w:rPr>
                <w:b/>
                <w:bCs/>
                <w:sz w:val="20"/>
                <w:szCs w:val="20"/>
              </w:rPr>
            </w:pPr>
            <w:r w:rsidRPr="00891DE7">
              <w:rPr>
                <w:b/>
                <w:bCs/>
                <w:sz w:val="20"/>
                <w:szCs w:val="20"/>
              </w:rPr>
              <w:t>Variable</w:t>
            </w:r>
          </w:p>
        </w:tc>
        <w:tc>
          <w:tcPr>
            <w:tcW w:w="4810" w:type="dxa"/>
            <w:tcBorders>
              <w:top w:val="single" w:sz="4" w:space="0" w:color="DBDBDB" w:themeColor="accent3" w:themeTint="66"/>
              <w:bottom w:val="single" w:sz="4" w:space="0" w:color="DBDBDB" w:themeColor="accent3" w:themeTint="66"/>
            </w:tcBorders>
            <w:vAlign w:val="center"/>
          </w:tcPr>
          <w:p w14:paraId="551819D5" w14:textId="77777777" w:rsidR="002833A0" w:rsidRPr="00891DE7" w:rsidRDefault="002833A0" w:rsidP="00B9614A">
            <w:pPr>
              <w:pStyle w:val="Tabletext"/>
              <w:rPr>
                <w:b/>
                <w:bCs/>
                <w:sz w:val="20"/>
                <w:szCs w:val="20"/>
              </w:rPr>
            </w:pPr>
            <w:r w:rsidRPr="00891DE7">
              <w:rPr>
                <w:b/>
                <w:bCs/>
                <w:sz w:val="20"/>
                <w:szCs w:val="20"/>
              </w:rPr>
              <w:t>Variable description</w:t>
            </w:r>
          </w:p>
        </w:tc>
        <w:tc>
          <w:tcPr>
            <w:tcW w:w="770" w:type="dxa"/>
            <w:tcBorders>
              <w:top w:val="single" w:sz="4" w:space="0" w:color="DBDBDB" w:themeColor="accent3" w:themeTint="66"/>
              <w:bottom w:val="single" w:sz="4" w:space="0" w:color="DBDBDB" w:themeColor="accent3" w:themeTint="66"/>
            </w:tcBorders>
            <w:shd w:val="clear" w:color="auto" w:fill="auto"/>
            <w:vAlign w:val="center"/>
          </w:tcPr>
          <w:p w14:paraId="18A3D8CC" w14:textId="77777777" w:rsidR="002833A0" w:rsidRPr="00891DE7" w:rsidRDefault="002833A0" w:rsidP="00B9614A">
            <w:pPr>
              <w:pStyle w:val="Tabletext"/>
              <w:rPr>
                <w:b/>
                <w:bCs/>
                <w:sz w:val="20"/>
                <w:szCs w:val="20"/>
                <w:vertAlign w:val="superscript"/>
              </w:rPr>
            </w:pPr>
            <w:r w:rsidRPr="00891DE7">
              <w:rPr>
                <w:b/>
                <w:bCs/>
                <w:sz w:val="20"/>
                <w:szCs w:val="20"/>
              </w:rPr>
              <w:t xml:space="preserve">Type </w:t>
            </w:r>
            <w:r w:rsidRPr="00891DE7">
              <w:rPr>
                <w:b/>
                <w:bCs/>
                <w:sz w:val="20"/>
                <w:szCs w:val="20"/>
                <w:vertAlign w:val="superscript"/>
              </w:rPr>
              <w:t>a</w:t>
            </w:r>
          </w:p>
        </w:tc>
      </w:tr>
      <w:tr w:rsidR="002833A0" w:rsidRPr="00891DE7" w14:paraId="03C9337D" w14:textId="77777777" w:rsidTr="00891DE7">
        <w:tc>
          <w:tcPr>
            <w:tcW w:w="1980" w:type="dxa"/>
            <w:vMerge w:val="restart"/>
          </w:tcPr>
          <w:p w14:paraId="115A4AD8" w14:textId="77777777" w:rsidR="002833A0" w:rsidRPr="00891DE7" w:rsidRDefault="002833A0" w:rsidP="00B9614A">
            <w:pPr>
              <w:pStyle w:val="Tabletext"/>
              <w:rPr>
                <w:sz w:val="20"/>
                <w:szCs w:val="20"/>
              </w:rPr>
            </w:pPr>
            <w:r w:rsidRPr="00891DE7">
              <w:rPr>
                <w:sz w:val="20"/>
                <w:szCs w:val="20"/>
              </w:rPr>
              <w:t>Climate</w:t>
            </w:r>
          </w:p>
        </w:tc>
        <w:tc>
          <w:tcPr>
            <w:tcW w:w="1800" w:type="dxa"/>
          </w:tcPr>
          <w:p w14:paraId="4FF60268" w14:textId="77777777" w:rsidR="002833A0" w:rsidRPr="00891DE7" w:rsidRDefault="002833A0" w:rsidP="00B9614A">
            <w:pPr>
              <w:pStyle w:val="Tabletext"/>
              <w:rPr>
                <w:sz w:val="20"/>
                <w:szCs w:val="20"/>
              </w:rPr>
            </w:pPr>
            <w:r w:rsidRPr="00891DE7">
              <w:rPr>
                <w:sz w:val="20"/>
                <w:szCs w:val="20"/>
              </w:rPr>
              <w:t>Cooling design temperature</w:t>
            </w:r>
          </w:p>
        </w:tc>
        <w:tc>
          <w:tcPr>
            <w:tcW w:w="4810" w:type="dxa"/>
          </w:tcPr>
          <w:p w14:paraId="2BC723A1" w14:textId="77777777" w:rsidR="002833A0" w:rsidRPr="00891DE7" w:rsidRDefault="002833A0" w:rsidP="00B9614A">
            <w:pPr>
              <w:pStyle w:val="Tabletext"/>
              <w:rPr>
                <w:sz w:val="20"/>
                <w:szCs w:val="20"/>
              </w:rPr>
            </w:pPr>
            <w:r w:rsidRPr="00891DE7">
              <w:rPr>
                <w:sz w:val="20"/>
                <w:szCs w:val="20"/>
              </w:rPr>
              <w:t>Dry bulb design temperature (F) expected to be exceeded 1% of the time</w:t>
            </w:r>
          </w:p>
        </w:tc>
        <w:tc>
          <w:tcPr>
            <w:tcW w:w="770" w:type="dxa"/>
          </w:tcPr>
          <w:p w14:paraId="11AE94C8"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02792949" w14:textId="77777777" w:rsidTr="00891DE7">
        <w:tc>
          <w:tcPr>
            <w:tcW w:w="1980" w:type="dxa"/>
            <w:vMerge/>
          </w:tcPr>
          <w:p w14:paraId="58C8F4FC" w14:textId="77777777" w:rsidR="002833A0" w:rsidRPr="00891DE7" w:rsidRDefault="002833A0" w:rsidP="00B9614A">
            <w:pPr>
              <w:pStyle w:val="Tabletext"/>
              <w:rPr>
                <w:sz w:val="20"/>
                <w:szCs w:val="20"/>
              </w:rPr>
            </w:pPr>
          </w:p>
        </w:tc>
        <w:tc>
          <w:tcPr>
            <w:tcW w:w="1800" w:type="dxa"/>
          </w:tcPr>
          <w:p w14:paraId="306B58B1" w14:textId="77777777" w:rsidR="002833A0" w:rsidRPr="00891DE7" w:rsidRDefault="002833A0" w:rsidP="00B9614A">
            <w:pPr>
              <w:pStyle w:val="Tabletext"/>
              <w:rPr>
                <w:sz w:val="20"/>
                <w:szCs w:val="20"/>
              </w:rPr>
            </w:pPr>
            <w:r w:rsidRPr="00891DE7">
              <w:rPr>
                <w:sz w:val="20"/>
                <w:szCs w:val="20"/>
              </w:rPr>
              <w:t>Heating design temperature</w:t>
            </w:r>
          </w:p>
        </w:tc>
        <w:tc>
          <w:tcPr>
            <w:tcW w:w="4810" w:type="dxa"/>
          </w:tcPr>
          <w:p w14:paraId="21363C6B" w14:textId="77777777" w:rsidR="002833A0" w:rsidRPr="00891DE7" w:rsidRDefault="002833A0" w:rsidP="00B9614A">
            <w:pPr>
              <w:pStyle w:val="Tabletext"/>
              <w:rPr>
                <w:sz w:val="20"/>
                <w:szCs w:val="20"/>
              </w:rPr>
            </w:pPr>
            <w:r w:rsidRPr="00891DE7">
              <w:rPr>
                <w:sz w:val="20"/>
                <w:szCs w:val="20"/>
              </w:rPr>
              <w:t>Dry bulb design temperature (F) expected to be exceeded 99% of the time</w:t>
            </w:r>
          </w:p>
        </w:tc>
        <w:tc>
          <w:tcPr>
            <w:tcW w:w="770" w:type="dxa"/>
          </w:tcPr>
          <w:p w14:paraId="38B89E9A"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E597E4B" w14:textId="77777777" w:rsidTr="00891DE7">
        <w:tc>
          <w:tcPr>
            <w:tcW w:w="1980" w:type="dxa"/>
            <w:vMerge w:val="restart"/>
          </w:tcPr>
          <w:p w14:paraId="7D31798E" w14:textId="77777777" w:rsidR="002833A0" w:rsidRPr="00891DE7" w:rsidRDefault="002833A0" w:rsidP="00B9614A">
            <w:pPr>
              <w:pStyle w:val="Tabletext"/>
              <w:rPr>
                <w:sz w:val="20"/>
                <w:szCs w:val="20"/>
              </w:rPr>
            </w:pPr>
            <w:r w:rsidRPr="00891DE7">
              <w:rPr>
                <w:sz w:val="20"/>
                <w:szCs w:val="20"/>
              </w:rPr>
              <w:t>Demographic</w:t>
            </w:r>
          </w:p>
        </w:tc>
        <w:tc>
          <w:tcPr>
            <w:tcW w:w="1800" w:type="dxa"/>
          </w:tcPr>
          <w:p w14:paraId="6E114AF3" w14:textId="77777777" w:rsidR="002833A0" w:rsidRPr="00891DE7" w:rsidRDefault="002833A0" w:rsidP="00B9614A">
            <w:pPr>
              <w:pStyle w:val="Tabletext"/>
              <w:rPr>
                <w:sz w:val="20"/>
                <w:szCs w:val="20"/>
              </w:rPr>
            </w:pPr>
            <w:r w:rsidRPr="00891DE7">
              <w:rPr>
                <w:sz w:val="20"/>
                <w:szCs w:val="20"/>
              </w:rPr>
              <w:t>Non-white</w:t>
            </w:r>
          </w:p>
        </w:tc>
        <w:tc>
          <w:tcPr>
            <w:tcW w:w="4810" w:type="dxa"/>
          </w:tcPr>
          <w:p w14:paraId="2875418B" w14:textId="77777777" w:rsidR="002833A0" w:rsidRPr="00891DE7" w:rsidRDefault="002833A0" w:rsidP="00B9614A">
            <w:pPr>
              <w:pStyle w:val="Tabletext"/>
              <w:rPr>
                <w:sz w:val="20"/>
                <w:szCs w:val="20"/>
              </w:rPr>
            </w:pPr>
            <w:r w:rsidRPr="00891DE7">
              <w:rPr>
                <w:sz w:val="20"/>
                <w:szCs w:val="20"/>
              </w:rPr>
              <w:t>Householder (respondent) race is non-white, or ethnicity is of Spanish descent.</w:t>
            </w:r>
          </w:p>
        </w:tc>
        <w:tc>
          <w:tcPr>
            <w:tcW w:w="770" w:type="dxa"/>
          </w:tcPr>
          <w:p w14:paraId="35602F5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4258FD1F" w14:textId="77777777" w:rsidTr="00891DE7">
        <w:tc>
          <w:tcPr>
            <w:tcW w:w="1980" w:type="dxa"/>
            <w:vMerge/>
          </w:tcPr>
          <w:p w14:paraId="6A4EB871" w14:textId="77777777" w:rsidR="002833A0" w:rsidRPr="00891DE7" w:rsidRDefault="002833A0" w:rsidP="00B9614A">
            <w:pPr>
              <w:pStyle w:val="Tabletext"/>
              <w:rPr>
                <w:sz w:val="20"/>
                <w:szCs w:val="20"/>
              </w:rPr>
            </w:pPr>
          </w:p>
        </w:tc>
        <w:tc>
          <w:tcPr>
            <w:tcW w:w="1800" w:type="dxa"/>
          </w:tcPr>
          <w:p w14:paraId="6906C5E7" w14:textId="4ECADBC6" w:rsidR="002833A0" w:rsidRPr="00891DE7" w:rsidRDefault="00891DE7" w:rsidP="00B9614A">
            <w:pPr>
              <w:pStyle w:val="Tabletext"/>
              <w:rPr>
                <w:sz w:val="20"/>
                <w:szCs w:val="20"/>
              </w:rPr>
            </w:pPr>
            <w:r>
              <w:rPr>
                <w:sz w:val="20"/>
                <w:szCs w:val="20"/>
              </w:rPr>
              <w:t>Older than 65</w:t>
            </w:r>
          </w:p>
        </w:tc>
        <w:tc>
          <w:tcPr>
            <w:tcW w:w="4810" w:type="dxa"/>
          </w:tcPr>
          <w:p w14:paraId="43E31C9D" w14:textId="575E142B" w:rsidR="002833A0" w:rsidRPr="00891DE7" w:rsidRDefault="002833A0" w:rsidP="00B9614A">
            <w:pPr>
              <w:pStyle w:val="Tabletext"/>
              <w:rPr>
                <w:sz w:val="20"/>
                <w:szCs w:val="20"/>
              </w:rPr>
            </w:pPr>
            <w:r w:rsidRPr="00891DE7">
              <w:rPr>
                <w:sz w:val="20"/>
                <w:szCs w:val="20"/>
              </w:rPr>
              <w:t xml:space="preserve">Respondent or household member age is </w:t>
            </w:r>
            <w:r w:rsidRPr="00891DE7">
              <w:rPr>
                <w:sz w:val="20"/>
                <w:szCs w:val="20"/>
                <w:u w:val="single"/>
              </w:rPr>
              <w:t>&gt;</w:t>
            </w:r>
            <w:r w:rsidR="00891DE7" w:rsidRPr="00891DE7">
              <w:rPr>
                <w:sz w:val="20"/>
                <w:szCs w:val="20"/>
              </w:rPr>
              <w:t xml:space="preserve"> </w:t>
            </w:r>
            <w:r w:rsidRPr="00891DE7">
              <w:rPr>
                <w:sz w:val="20"/>
                <w:szCs w:val="20"/>
              </w:rPr>
              <w:t xml:space="preserve">65 </w:t>
            </w:r>
          </w:p>
        </w:tc>
        <w:tc>
          <w:tcPr>
            <w:tcW w:w="770" w:type="dxa"/>
          </w:tcPr>
          <w:p w14:paraId="7ACD89E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66D5C596" w14:textId="77777777" w:rsidTr="00891DE7">
        <w:tc>
          <w:tcPr>
            <w:tcW w:w="1980" w:type="dxa"/>
            <w:vMerge/>
          </w:tcPr>
          <w:p w14:paraId="6AF373DD" w14:textId="77777777" w:rsidR="002833A0" w:rsidRPr="00891DE7" w:rsidRDefault="002833A0" w:rsidP="00B9614A">
            <w:pPr>
              <w:pStyle w:val="Tabletext"/>
              <w:rPr>
                <w:sz w:val="20"/>
                <w:szCs w:val="20"/>
              </w:rPr>
            </w:pPr>
          </w:p>
        </w:tc>
        <w:tc>
          <w:tcPr>
            <w:tcW w:w="1800" w:type="dxa"/>
          </w:tcPr>
          <w:p w14:paraId="18B0CAD1" w14:textId="77777777" w:rsidR="002833A0" w:rsidRPr="00891DE7" w:rsidRDefault="002833A0" w:rsidP="00B9614A">
            <w:pPr>
              <w:pStyle w:val="Tabletext"/>
              <w:rPr>
                <w:sz w:val="20"/>
                <w:szCs w:val="20"/>
              </w:rPr>
            </w:pPr>
            <w:r w:rsidRPr="00891DE7">
              <w:rPr>
                <w:sz w:val="20"/>
                <w:szCs w:val="20"/>
              </w:rPr>
              <w:t>Lives alone</w:t>
            </w:r>
          </w:p>
        </w:tc>
        <w:tc>
          <w:tcPr>
            <w:tcW w:w="4810" w:type="dxa"/>
          </w:tcPr>
          <w:p w14:paraId="51616C32" w14:textId="77777777" w:rsidR="002833A0" w:rsidRPr="00891DE7" w:rsidRDefault="002833A0" w:rsidP="00B9614A">
            <w:pPr>
              <w:pStyle w:val="Tabletext"/>
              <w:rPr>
                <w:sz w:val="20"/>
                <w:szCs w:val="20"/>
              </w:rPr>
            </w:pPr>
            <w:r w:rsidRPr="00891DE7">
              <w:rPr>
                <w:sz w:val="20"/>
                <w:szCs w:val="20"/>
              </w:rPr>
              <w:t>Number of household members = 1</w:t>
            </w:r>
          </w:p>
        </w:tc>
        <w:tc>
          <w:tcPr>
            <w:tcW w:w="770" w:type="dxa"/>
          </w:tcPr>
          <w:p w14:paraId="2180A3D1"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4B31866" w14:textId="77777777" w:rsidTr="00891DE7">
        <w:tc>
          <w:tcPr>
            <w:tcW w:w="1980" w:type="dxa"/>
            <w:vMerge/>
          </w:tcPr>
          <w:p w14:paraId="320A0268" w14:textId="77777777" w:rsidR="002833A0" w:rsidRPr="00891DE7" w:rsidRDefault="002833A0" w:rsidP="00B9614A">
            <w:pPr>
              <w:pStyle w:val="Tabletext"/>
              <w:rPr>
                <w:sz w:val="20"/>
                <w:szCs w:val="20"/>
              </w:rPr>
            </w:pPr>
          </w:p>
        </w:tc>
        <w:tc>
          <w:tcPr>
            <w:tcW w:w="1800" w:type="dxa"/>
          </w:tcPr>
          <w:p w14:paraId="450B0D5F" w14:textId="77777777" w:rsidR="002833A0" w:rsidRPr="00891DE7" w:rsidRDefault="002833A0" w:rsidP="00B9614A">
            <w:pPr>
              <w:pStyle w:val="Tabletext"/>
              <w:rPr>
                <w:sz w:val="20"/>
                <w:szCs w:val="20"/>
              </w:rPr>
            </w:pPr>
            <w:r w:rsidRPr="00891DE7">
              <w:rPr>
                <w:sz w:val="20"/>
                <w:szCs w:val="20"/>
              </w:rPr>
              <w:t>Large households (7+ members)</w:t>
            </w:r>
          </w:p>
        </w:tc>
        <w:tc>
          <w:tcPr>
            <w:tcW w:w="4810" w:type="dxa"/>
          </w:tcPr>
          <w:p w14:paraId="540CDB30" w14:textId="2AB22F16" w:rsidR="002833A0" w:rsidRPr="00891DE7" w:rsidRDefault="002833A0" w:rsidP="00B9614A">
            <w:pPr>
              <w:pStyle w:val="Tabletext"/>
              <w:rPr>
                <w:sz w:val="20"/>
                <w:szCs w:val="20"/>
              </w:rPr>
            </w:pPr>
            <w:r w:rsidRPr="00891DE7">
              <w:rPr>
                <w:sz w:val="20"/>
                <w:szCs w:val="20"/>
              </w:rPr>
              <w:t xml:space="preserve">Number of household members </w:t>
            </w:r>
            <w:r w:rsidRPr="00891DE7">
              <w:rPr>
                <w:sz w:val="20"/>
                <w:szCs w:val="20"/>
                <w:u w:val="single"/>
              </w:rPr>
              <w:t>&gt;</w:t>
            </w:r>
            <w:r w:rsidRPr="00891DE7">
              <w:rPr>
                <w:sz w:val="20"/>
                <w:szCs w:val="20"/>
              </w:rPr>
              <w:t xml:space="preserve"> 7</w:t>
            </w:r>
          </w:p>
        </w:tc>
        <w:tc>
          <w:tcPr>
            <w:tcW w:w="770" w:type="dxa"/>
          </w:tcPr>
          <w:p w14:paraId="0C41ACF0"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6B8336BC" w14:textId="77777777" w:rsidTr="00891DE7">
        <w:tc>
          <w:tcPr>
            <w:tcW w:w="1980" w:type="dxa"/>
            <w:vMerge/>
          </w:tcPr>
          <w:p w14:paraId="05BBB97B" w14:textId="77777777" w:rsidR="002833A0" w:rsidRPr="00891DE7" w:rsidRDefault="002833A0" w:rsidP="00B9614A">
            <w:pPr>
              <w:pStyle w:val="Tabletext"/>
              <w:rPr>
                <w:sz w:val="20"/>
                <w:szCs w:val="20"/>
              </w:rPr>
            </w:pPr>
          </w:p>
        </w:tc>
        <w:tc>
          <w:tcPr>
            <w:tcW w:w="1800" w:type="dxa"/>
          </w:tcPr>
          <w:p w14:paraId="0DC74E8C" w14:textId="77777777" w:rsidR="002833A0" w:rsidRPr="00891DE7" w:rsidRDefault="002833A0" w:rsidP="00B9614A">
            <w:pPr>
              <w:pStyle w:val="Tabletext"/>
              <w:rPr>
                <w:sz w:val="20"/>
                <w:szCs w:val="20"/>
              </w:rPr>
            </w:pPr>
            <w:r w:rsidRPr="00891DE7">
              <w:rPr>
                <w:sz w:val="20"/>
                <w:szCs w:val="20"/>
              </w:rPr>
              <w:t>Poverty</w:t>
            </w:r>
          </w:p>
        </w:tc>
        <w:tc>
          <w:tcPr>
            <w:tcW w:w="4810" w:type="dxa"/>
          </w:tcPr>
          <w:p w14:paraId="321D0071" w14:textId="1D1B777A" w:rsidR="002833A0" w:rsidRPr="00891DE7" w:rsidRDefault="002833A0" w:rsidP="00B9614A">
            <w:pPr>
              <w:pStyle w:val="Tabletext"/>
              <w:rPr>
                <w:sz w:val="20"/>
                <w:szCs w:val="20"/>
              </w:rPr>
            </w:pPr>
            <w:r w:rsidRPr="00891DE7">
              <w:rPr>
                <w:sz w:val="20"/>
                <w:szCs w:val="20"/>
              </w:rPr>
              <w:t>Calculated from gross income and number of household members based on U.S. Census Bureau definition for poverty threshold</w:t>
            </w:r>
            <w:r w:rsidR="00891DE7">
              <w:rPr>
                <w:sz w:val="20"/>
                <w:szCs w:val="20"/>
              </w:rPr>
              <w:t xml:space="preserve"> for that year</w:t>
            </w:r>
          </w:p>
        </w:tc>
        <w:tc>
          <w:tcPr>
            <w:tcW w:w="770" w:type="dxa"/>
          </w:tcPr>
          <w:p w14:paraId="1DA6AFA4"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350CB130" w14:textId="77777777" w:rsidTr="00891DE7">
        <w:tc>
          <w:tcPr>
            <w:tcW w:w="1980" w:type="dxa"/>
            <w:vMerge/>
          </w:tcPr>
          <w:p w14:paraId="23D7B3B9" w14:textId="77777777" w:rsidR="002833A0" w:rsidRPr="00891DE7" w:rsidRDefault="002833A0" w:rsidP="00B9614A">
            <w:pPr>
              <w:pStyle w:val="Tabletext"/>
              <w:rPr>
                <w:sz w:val="20"/>
                <w:szCs w:val="20"/>
              </w:rPr>
            </w:pPr>
          </w:p>
        </w:tc>
        <w:tc>
          <w:tcPr>
            <w:tcW w:w="1800" w:type="dxa"/>
          </w:tcPr>
          <w:p w14:paraId="25168990" w14:textId="77777777" w:rsidR="002833A0" w:rsidRPr="00891DE7" w:rsidRDefault="002833A0" w:rsidP="00B9614A">
            <w:pPr>
              <w:pStyle w:val="Tabletext"/>
              <w:rPr>
                <w:sz w:val="20"/>
                <w:szCs w:val="20"/>
              </w:rPr>
            </w:pPr>
            <w:r w:rsidRPr="00891DE7">
              <w:rPr>
                <w:sz w:val="20"/>
                <w:szCs w:val="20"/>
              </w:rPr>
              <w:t>Unemployed</w:t>
            </w:r>
          </w:p>
        </w:tc>
        <w:tc>
          <w:tcPr>
            <w:tcW w:w="4810" w:type="dxa"/>
          </w:tcPr>
          <w:p w14:paraId="6CA82C7B" w14:textId="77777777" w:rsidR="002833A0" w:rsidRPr="00891DE7" w:rsidRDefault="002833A0" w:rsidP="00B9614A">
            <w:pPr>
              <w:pStyle w:val="Tabletext"/>
              <w:rPr>
                <w:sz w:val="20"/>
                <w:szCs w:val="20"/>
              </w:rPr>
            </w:pPr>
            <w:r w:rsidRPr="00891DE7">
              <w:rPr>
                <w:sz w:val="20"/>
                <w:szCs w:val="20"/>
              </w:rPr>
              <w:t>Respondent is unemployed or retired</w:t>
            </w:r>
          </w:p>
        </w:tc>
        <w:tc>
          <w:tcPr>
            <w:tcW w:w="770" w:type="dxa"/>
          </w:tcPr>
          <w:p w14:paraId="0ABF5C5A"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1B777739" w14:textId="77777777" w:rsidTr="00891DE7">
        <w:tc>
          <w:tcPr>
            <w:tcW w:w="1980" w:type="dxa"/>
            <w:vMerge/>
          </w:tcPr>
          <w:p w14:paraId="42F64C96" w14:textId="77777777" w:rsidR="002833A0" w:rsidRPr="00891DE7" w:rsidRDefault="002833A0" w:rsidP="00B9614A">
            <w:pPr>
              <w:pStyle w:val="Tabletext"/>
              <w:rPr>
                <w:sz w:val="20"/>
                <w:szCs w:val="20"/>
              </w:rPr>
            </w:pPr>
          </w:p>
        </w:tc>
        <w:tc>
          <w:tcPr>
            <w:tcW w:w="1800" w:type="dxa"/>
          </w:tcPr>
          <w:p w14:paraId="7DE501A3" w14:textId="0A90471A" w:rsidR="002833A0" w:rsidRPr="00891DE7" w:rsidRDefault="002833A0" w:rsidP="00B9614A">
            <w:pPr>
              <w:pStyle w:val="Tabletext"/>
              <w:rPr>
                <w:sz w:val="20"/>
                <w:szCs w:val="20"/>
              </w:rPr>
            </w:pPr>
            <w:r w:rsidRPr="00891DE7">
              <w:rPr>
                <w:sz w:val="20"/>
                <w:szCs w:val="20"/>
              </w:rPr>
              <w:t>Education</w:t>
            </w:r>
            <w:r w:rsidR="005B308F">
              <w:rPr>
                <w:sz w:val="20"/>
                <w:szCs w:val="20"/>
              </w:rPr>
              <w:t xml:space="preserve"> level</w:t>
            </w:r>
          </w:p>
        </w:tc>
        <w:tc>
          <w:tcPr>
            <w:tcW w:w="4810" w:type="dxa"/>
          </w:tcPr>
          <w:p w14:paraId="557CC0AD" w14:textId="77777777" w:rsidR="002833A0" w:rsidRPr="00891DE7" w:rsidRDefault="002833A0" w:rsidP="00B9614A">
            <w:pPr>
              <w:pStyle w:val="Tabletext"/>
              <w:rPr>
                <w:sz w:val="20"/>
                <w:szCs w:val="20"/>
              </w:rPr>
            </w:pPr>
            <w:r w:rsidRPr="00891DE7">
              <w:rPr>
                <w:sz w:val="20"/>
                <w:szCs w:val="20"/>
              </w:rPr>
              <w:t>Highest education attained is high school or equivalent</w:t>
            </w:r>
          </w:p>
        </w:tc>
        <w:tc>
          <w:tcPr>
            <w:tcW w:w="770" w:type="dxa"/>
          </w:tcPr>
          <w:p w14:paraId="2DF88D6F" w14:textId="77777777" w:rsidR="002833A0" w:rsidRPr="00891DE7" w:rsidRDefault="002833A0" w:rsidP="00B9614A">
            <w:pPr>
              <w:pStyle w:val="Tabletext"/>
              <w:jc w:val="center"/>
              <w:rPr>
                <w:sz w:val="20"/>
                <w:szCs w:val="20"/>
              </w:rPr>
            </w:pPr>
          </w:p>
        </w:tc>
      </w:tr>
      <w:tr w:rsidR="002833A0" w:rsidRPr="00891DE7" w14:paraId="3CD4C2EB" w14:textId="77777777" w:rsidTr="00891DE7">
        <w:tc>
          <w:tcPr>
            <w:tcW w:w="1980" w:type="dxa"/>
            <w:vMerge/>
          </w:tcPr>
          <w:p w14:paraId="51258F49" w14:textId="77777777" w:rsidR="002833A0" w:rsidRPr="00891DE7" w:rsidRDefault="002833A0" w:rsidP="00B9614A">
            <w:pPr>
              <w:pStyle w:val="Tabletext"/>
              <w:rPr>
                <w:sz w:val="20"/>
                <w:szCs w:val="20"/>
              </w:rPr>
            </w:pPr>
          </w:p>
        </w:tc>
        <w:tc>
          <w:tcPr>
            <w:tcW w:w="1800" w:type="dxa"/>
          </w:tcPr>
          <w:p w14:paraId="28F6CB99" w14:textId="77777777" w:rsidR="002833A0" w:rsidRPr="00891DE7" w:rsidRDefault="002833A0" w:rsidP="00B9614A">
            <w:pPr>
              <w:pStyle w:val="Tabletext"/>
              <w:rPr>
                <w:sz w:val="20"/>
                <w:szCs w:val="20"/>
              </w:rPr>
            </w:pPr>
            <w:r w:rsidRPr="00891DE7">
              <w:rPr>
                <w:sz w:val="20"/>
                <w:szCs w:val="20"/>
              </w:rPr>
              <w:t>Renting</w:t>
            </w:r>
          </w:p>
        </w:tc>
        <w:tc>
          <w:tcPr>
            <w:tcW w:w="4810" w:type="dxa"/>
          </w:tcPr>
          <w:p w14:paraId="1EED6B86" w14:textId="77777777" w:rsidR="002833A0" w:rsidRPr="00891DE7" w:rsidRDefault="002833A0" w:rsidP="00B9614A">
            <w:pPr>
              <w:pStyle w:val="Tabletext"/>
              <w:rPr>
                <w:sz w:val="20"/>
                <w:szCs w:val="20"/>
              </w:rPr>
            </w:pPr>
            <w:r w:rsidRPr="00891DE7">
              <w:rPr>
                <w:sz w:val="20"/>
                <w:szCs w:val="20"/>
              </w:rPr>
              <w:t>Household pays rent</w:t>
            </w:r>
          </w:p>
        </w:tc>
        <w:tc>
          <w:tcPr>
            <w:tcW w:w="770" w:type="dxa"/>
          </w:tcPr>
          <w:p w14:paraId="1542BD56"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A5438AF" w14:textId="77777777" w:rsidTr="00891DE7">
        <w:tc>
          <w:tcPr>
            <w:tcW w:w="1980" w:type="dxa"/>
            <w:vMerge/>
          </w:tcPr>
          <w:p w14:paraId="49467B66" w14:textId="77777777" w:rsidR="002833A0" w:rsidRPr="00891DE7" w:rsidRDefault="002833A0" w:rsidP="00B9614A">
            <w:pPr>
              <w:pStyle w:val="Tabletext"/>
              <w:rPr>
                <w:sz w:val="20"/>
                <w:szCs w:val="20"/>
              </w:rPr>
            </w:pPr>
          </w:p>
        </w:tc>
        <w:tc>
          <w:tcPr>
            <w:tcW w:w="1800" w:type="dxa"/>
          </w:tcPr>
          <w:p w14:paraId="2FF8E394" w14:textId="77777777" w:rsidR="002833A0" w:rsidRPr="00891DE7" w:rsidRDefault="002833A0" w:rsidP="00B9614A">
            <w:pPr>
              <w:pStyle w:val="Tabletext"/>
              <w:rPr>
                <w:sz w:val="20"/>
                <w:szCs w:val="20"/>
              </w:rPr>
            </w:pPr>
            <w:r w:rsidRPr="00891DE7">
              <w:rPr>
                <w:sz w:val="20"/>
                <w:szCs w:val="20"/>
              </w:rPr>
              <w:t>Pays utility or for other fuel</w:t>
            </w:r>
          </w:p>
        </w:tc>
        <w:tc>
          <w:tcPr>
            <w:tcW w:w="4810" w:type="dxa"/>
          </w:tcPr>
          <w:p w14:paraId="7A3F7157" w14:textId="77777777" w:rsidR="002833A0" w:rsidRPr="00891DE7" w:rsidRDefault="002833A0" w:rsidP="00B9614A">
            <w:pPr>
              <w:pStyle w:val="Tabletext"/>
              <w:rPr>
                <w:sz w:val="20"/>
                <w:szCs w:val="20"/>
              </w:rPr>
            </w:pPr>
            <w:r w:rsidRPr="00891DE7">
              <w:rPr>
                <w:sz w:val="20"/>
                <w:szCs w:val="20"/>
              </w:rPr>
              <w:t>Household pays for electricity, natural gas, propane, and/or fuel oil</w:t>
            </w:r>
          </w:p>
        </w:tc>
        <w:tc>
          <w:tcPr>
            <w:tcW w:w="770" w:type="dxa"/>
          </w:tcPr>
          <w:p w14:paraId="6EEC08DE"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C0CE817" w14:textId="77777777" w:rsidTr="00891DE7">
        <w:tc>
          <w:tcPr>
            <w:tcW w:w="1980" w:type="dxa"/>
            <w:vMerge w:val="restart"/>
          </w:tcPr>
          <w:p w14:paraId="7C0F69C3" w14:textId="76C48EC9"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construction</w:t>
            </w:r>
          </w:p>
        </w:tc>
        <w:tc>
          <w:tcPr>
            <w:tcW w:w="1800" w:type="dxa"/>
          </w:tcPr>
          <w:p w14:paraId="76595606" w14:textId="77777777" w:rsidR="002833A0" w:rsidRPr="00891DE7" w:rsidRDefault="002833A0" w:rsidP="00B9614A">
            <w:pPr>
              <w:pStyle w:val="Tabletext"/>
              <w:rPr>
                <w:sz w:val="20"/>
                <w:szCs w:val="20"/>
              </w:rPr>
            </w:pPr>
            <w:r w:rsidRPr="00891DE7">
              <w:rPr>
                <w:sz w:val="20"/>
                <w:szCs w:val="20"/>
              </w:rPr>
              <w:t>Construction age</w:t>
            </w:r>
          </w:p>
        </w:tc>
        <w:tc>
          <w:tcPr>
            <w:tcW w:w="4810" w:type="dxa"/>
          </w:tcPr>
          <w:p w14:paraId="5C460B81" w14:textId="77777777" w:rsidR="002833A0" w:rsidRPr="00891DE7" w:rsidRDefault="002833A0" w:rsidP="00B9614A">
            <w:pPr>
              <w:pStyle w:val="Tabletext"/>
              <w:rPr>
                <w:sz w:val="20"/>
                <w:szCs w:val="20"/>
              </w:rPr>
            </w:pPr>
            <w:r w:rsidRPr="00891DE7">
              <w:rPr>
                <w:sz w:val="20"/>
                <w:szCs w:val="20"/>
              </w:rPr>
              <w:t>Estimated year when housing unit was built (taken as the maximum of the range in RECS response coding)</w:t>
            </w:r>
          </w:p>
        </w:tc>
        <w:tc>
          <w:tcPr>
            <w:tcW w:w="770" w:type="dxa"/>
          </w:tcPr>
          <w:p w14:paraId="0634404A"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24FE007E" w14:textId="77777777" w:rsidTr="00891DE7">
        <w:tc>
          <w:tcPr>
            <w:tcW w:w="1980" w:type="dxa"/>
            <w:vMerge/>
          </w:tcPr>
          <w:p w14:paraId="06307268" w14:textId="77777777" w:rsidR="002833A0" w:rsidRPr="00891DE7" w:rsidRDefault="002833A0" w:rsidP="00B9614A">
            <w:pPr>
              <w:pStyle w:val="Tabletext"/>
              <w:rPr>
                <w:sz w:val="20"/>
                <w:szCs w:val="20"/>
              </w:rPr>
            </w:pPr>
          </w:p>
        </w:tc>
        <w:tc>
          <w:tcPr>
            <w:tcW w:w="1800" w:type="dxa"/>
          </w:tcPr>
          <w:p w14:paraId="0BA1AE2A" w14:textId="77777777" w:rsidR="002833A0" w:rsidRPr="00891DE7" w:rsidRDefault="002833A0" w:rsidP="00B9614A">
            <w:pPr>
              <w:pStyle w:val="Tabletext"/>
              <w:rPr>
                <w:sz w:val="20"/>
                <w:szCs w:val="20"/>
              </w:rPr>
            </w:pPr>
            <w:r w:rsidRPr="00891DE7">
              <w:rPr>
                <w:sz w:val="20"/>
                <w:szCs w:val="20"/>
              </w:rPr>
              <w:t>Apartment</w:t>
            </w:r>
          </w:p>
        </w:tc>
        <w:tc>
          <w:tcPr>
            <w:tcW w:w="4810" w:type="dxa"/>
          </w:tcPr>
          <w:p w14:paraId="54A34571" w14:textId="77777777" w:rsidR="002833A0" w:rsidRPr="00891DE7" w:rsidRDefault="002833A0" w:rsidP="00B9614A">
            <w:pPr>
              <w:pStyle w:val="Tabletext"/>
              <w:rPr>
                <w:sz w:val="20"/>
                <w:szCs w:val="20"/>
              </w:rPr>
            </w:pPr>
            <w:r w:rsidRPr="00891DE7">
              <w:rPr>
                <w:sz w:val="20"/>
                <w:szCs w:val="20"/>
              </w:rPr>
              <w:t>Type of housing unit is low-rise or high-rise apartment</w:t>
            </w:r>
          </w:p>
        </w:tc>
        <w:tc>
          <w:tcPr>
            <w:tcW w:w="770" w:type="dxa"/>
          </w:tcPr>
          <w:p w14:paraId="16ABE522"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52ACB25C" w14:textId="77777777" w:rsidTr="00891DE7">
        <w:tc>
          <w:tcPr>
            <w:tcW w:w="1980" w:type="dxa"/>
          </w:tcPr>
          <w:p w14:paraId="3F659B78" w14:textId="77777777" w:rsidR="002833A0" w:rsidRPr="00891DE7" w:rsidRDefault="002833A0" w:rsidP="00B9614A">
            <w:pPr>
              <w:pStyle w:val="Tabletext"/>
              <w:rPr>
                <w:sz w:val="20"/>
                <w:szCs w:val="20"/>
              </w:rPr>
            </w:pPr>
          </w:p>
        </w:tc>
        <w:tc>
          <w:tcPr>
            <w:tcW w:w="1800" w:type="dxa"/>
          </w:tcPr>
          <w:p w14:paraId="380A1F30" w14:textId="77777777" w:rsidR="002833A0" w:rsidRPr="00891DE7" w:rsidRDefault="002833A0" w:rsidP="00B9614A">
            <w:pPr>
              <w:pStyle w:val="Tabletext"/>
              <w:rPr>
                <w:sz w:val="20"/>
                <w:szCs w:val="20"/>
              </w:rPr>
            </w:pPr>
            <w:r w:rsidRPr="00891DE7">
              <w:rPr>
                <w:sz w:val="20"/>
                <w:szCs w:val="20"/>
              </w:rPr>
              <w:t>Mobile</w:t>
            </w:r>
          </w:p>
        </w:tc>
        <w:tc>
          <w:tcPr>
            <w:tcW w:w="4810" w:type="dxa"/>
          </w:tcPr>
          <w:p w14:paraId="775B510C" w14:textId="77777777" w:rsidR="002833A0" w:rsidRPr="00891DE7" w:rsidRDefault="002833A0" w:rsidP="00B9614A">
            <w:pPr>
              <w:pStyle w:val="Tabletext"/>
              <w:rPr>
                <w:sz w:val="20"/>
                <w:szCs w:val="20"/>
              </w:rPr>
            </w:pPr>
            <w:r w:rsidRPr="00891DE7">
              <w:rPr>
                <w:sz w:val="20"/>
                <w:szCs w:val="20"/>
              </w:rPr>
              <w:t>Type of housing unit is mobile home</w:t>
            </w:r>
          </w:p>
        </w:tc>
        <w:tc>
          <w:tcPr>
            <w:tcW w:w="770" w:type="dxa"/>
          </w:tcPr>
          <w:p w14:paraId="054126AF"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074EEFF0" w14:textId="77777777" w:rsidTr="00891DE7">
        <w:tc>
          <w:tcPr>
            <w:tcW w:w="1980" w:type="dxa"/>
            <w:vMerge w:val="restart"/>
          </w:tcPr>
          <w:p w14:paraId="46435235" w14:textId="2FC25A9C"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envelope</w:t>
            </w:r>
          </w:p>
        </w:tc>
        <w:tc>
          <w:tcPr>
            <w:tcW w:w="1800" w:type="dxa"/>
          </w:tcPr>
          <w:p w14:paraId="1FB58C7A" w14:textId="290F2635" w:rsidR="002833A0" w:rsidRPr="00891DE7" w:rsidRDefault="002833A0" w:rsidP="00B9614A">
            <w:pPr>
              <w:pStyle w:val="Tabletext"/>
              <w:rPr>
                <w:sz w:val="20"/>
                <w:szCs w:val="20"/>
              </w:rPr>
            </w:pPr>
            <w:r w:rsidRPr="00891DE7">
              <w:rPr>
                <w:sz w:val="20"/>
                <w:szCs w:val="20"/>
              </w:rPr>
              <w:t>Thermal</w:t>
            </w:r>
            <w:r w:rsidR="005B308F">
              <w:rPr>
                <w:sz w:val="20"/>
                <w:szCs w:val="20"/>
              </w:rPr>
              <w:t>ly massive wall</w:t>
            </w:r>
          </w:p>
        </w:tc>
        <w:tc>
          <w:tcPr>
            <w:tcW w:w="4810" w:type="dxa"/>
          </w:tcPr>
          <w:p w14:paraId="12DAFA44" w14:textId="619C6081" w:rsidR="002833A0" w:rsidRPr="00891DE7" w:rsidRDefault="005B308F" w:rsidP="00B9614A">
            <w:pPr>
              <w:pStyle w:val="Tabletext"/>
              <w:rPr>
                <w:sz w:val="20"/>
                <w:szCs w:val="20"/>
              </w:rPr>
            </w:pPr>
            <w:r>
              <w:rPr>
                <w:sz w:val="20"/>
                <w:szCs w:val="20"/>
              </w:rPr>
              <w:t>Estimated thermal mass based on exterior wall material and presence of insulation</w:t>
            </w:r>
          </w:p>
        </w:tc>
        <w:tc>
          <w:tcPr>
            <w:tcW w:w="770" w:type="dxa"/>
          </w:tcPr>
          <w:p w14:paraId="75BFC34A" w14:textId="7D806696" w:rsidR="002833A0" w:rsidRPr="00891DE7" w:rsidRDefault="005B308F" w:rsidP="00B9614A">
            <w:pPr>
              <w:pStyle w:val="Tabletext"/>
              <w:jc w:val="center"/>
              <w:rPr>
                <w:sz w:val="20"/>
                <w:szCs w:val="20"/>
              </w:rPr>
            </w:pPr>
            <w:r>
              <w:rPr>
                <w:sz w:val="20"/>
                <w:szCs w:val="20"/>
              </w:rPr>
              <w:t>N</w:t>
            </w:r>
          </w:p>
        </w:tc>
      </w:tr>
      <w:tr w:rsidR="005B308F" w:rsidRPr="00891DE7" w14:paraId="08445798" w14:textId="77777777" w:rsidTr="00891DE7">
        <w:tc>
          <w:tcPr>
            <w:tcW w:w="1980" w:type="dxa"/>
            <w:vMerge/>
          </w:tcPr>
          <w:p w14:paraId="5E019853" w14:textId="77777777" w:rsidR="005B308F" w:rsidRPr="00891DE7" w:rsidRDefault="005B308F" w:rsidP="00B9614A">
            <w:pPr>
              <w:pStyle w:val="Tabletext"/>
              <w:rPr>
                <w:sz w:val="20"/>
                <w:szCs w:val="20"/>
              </w:rPr>
            </w:pPr>
          </w:p>
        </w:tc>
        <w:tc>
          <w:tcPr>
            <w:tcW w:w="1800" w:type="dxa"/>
          </w:tcPr>
          <w:p w14:paraId="7E3D82BD" w14:textId="184E9541" w:rsidR="005B308F" w:rsidRPr="00891DE7" w:rsidRDefault="005B308F" w:rsidP="00B9614A">
            <w:pPr>
              <w:pStyle w:val="Tabletext"/>
              <w:rPr>
                <w:sz w:val="20"/>
                <w:szCs w:val="20"/>
              </w:rPr>
            </w:pPr>
            <w:r>
              <w:rPr>
                <w:sz w:val="20"/>
                <w:szCs w:val="20"/>
              </w:rPr>
              <w:t>Thermally massive roof</w:t>
            </w:r>
          </w:p>
        </w:tc>
        <w:tc>
          <w:tcPr>
            <w:tcW w:w="4810" w:type="dxa"/>
          </w:tcPr>
          <w:p w14:paraId="18CD7DA8" w14:textId="493C2F9E" w:rsidR="005B308F" w:rsidRPr="00891DE7" w:rsidRDefault="005B308F" w:rsidP="00B9614A">
            <w:pPr>
              <w:pStyle w:val="Tabletext"/>
              <w:rPr>
                <w:sz w:val="20"/>
                <w:szCs w:val="20"/>
              </w:rPr>
            </w:pPr>
            <w:r>
              <w:rPr>
                <w:sz w:val="20"/>
                <w:szCs w:val="20"/>
              </w:rPr>
              <w:t xml:space="preserve">Estimated thermal mass based on exterior </w:t>
            </w:r>
            <w:r>
              <w:rPr>
                <w:sz w:val="20"/>
                <w:szCs w:val="20"/>
              </w:rPr>
              <w:t xml:space="preserve">roof </w:t>
            </w:r>
            <w:r>
              <w:rPr>
                <w:sz w:val="20"/>
                <w:szCs w:val="20"/>
              </w:rPr>
              <w:t>material and presence of insulation</w:t>
            </w:r>
          </w:p>
        </w:tc>
        <w:tc>
          <w:tcPr>
            <w:tcW w:w="770" w:type="dxa"/>
          </w:tcPr>
          <w:p w14:paraId="1E5A4636" w14:textId="41EC86F9" w:rsidR="005B308F" w:rsidRPr="00891DE7" w:rsidRDefault="005B308F" w:rsidP="00B9614A">
            <w:pPr>
              <w:pStyle w:val="Tabletext"/>
              <w:jc w:val="center"/>
              <w:rPr>
                <w:sz w:val="20"/>
                <w:szCs w:val="20"/>
              </w:rPr>
            </w:pPr>
            <w:r>
              <w:rPr>
                <w:sz w:val="20"/>
                <w:szCs w:val="20"/>
              </w:rPr>
              <w:t>N</w:t>
            </w:r>
          </w:p>
        </w:tc>
      </w:tr>
      <w:tr w:rsidR="002833A0" w:rsidRPr="00891DE7" w14:paraId="4B334E55" w14:textId="77777777" w:rsidTr="00891DE7">
        <w:tc>
          <w:tcPr>
            <w:tcW w:w="1980" w:type="dxa"/>
            <w:vMerge/>
          </w:tcPr>
          <w:p w14:paraId="7A576DDA" w14:textId="77777777" w:rsidR="002833A0" w:rsidRPr="00891DE7" w:rsidRDefault="002833A0" w:rsidP="00B9614A">
            <w:pPr>
              <w:pStyle w:val="Tabletext"/>
              <w:rPr>
                <w:sz w:val="20"/>
                <w:szCs w:val="20"/>
              </w:rPr>
            </w:pPr>
          </w:p>
        </w:tc>
        <w:tc>
          <w:tcPr>
            <w:tcW w:w="1800" w:type="dxa"/>
          </w:tcPr>
          <w:p w14:paraId="071E2FB9" w14:textId="77777777" w:rsidR="002833A0" w:rsidRPr="00891DE7" w:rsidRDefault="002833A0" w:rsidP="00B9614A">
            <w:pPr>
              <w:pStyle w:val="Tabletext"/>
              <w:rPr>
                <w:sz w:val="20"/>
                <w:szCs w:val="20"/>
              </w:rPr>
            </w:pPr>
            <w:r w:rsidRPr="00891DE7">
              <w:rPr>
                <w:sz w:val="20"/>
                <w:szCs w:val="20"/>
              </w:rPr>
              <w:t>Insulation</w:t>
            </w:r>
          </w:p>
        </w:tc>
        <w:tc>
          <w:tcPr>
            <w:tcW w:w="4810" w:type="dxa"/>
          </w:tcPr>
          <w:p w14:paraId="2C19727F" w14:textId="77777777" w:rsidR="002833A0" w:rsidRPr="00891DE7" w:rsidRDefault="002833A0" w:rsidP="00B9614A">
            <w:pPr>
              <w:pStyle w:val="Tabletext"/>
              <w:rPr>
                <w:sz w:val="20"/>
                <w:szCs w:val="20"/>
              </w:rPr>
            </w:pPr>
            <w:r w:rsidRPr="00891DE7">
              <w:rPr>
                <w:sz w:val="20"/>
                <w:szCs w:val="20"/>
              </w:rPr>
              <w:t>Level of insulation</w:t>
            </w:r>
          </w:p>
        </w:tc>
        <w:tc>
          <w:tcPr>
            <w:tcW w:w="770" w:type="dxa"/>
          </w:tcPr>
          <w:p w14:paraId="674A4501"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6A0A0173" w14:textId="77777777" w:rsidTr="00891DE7">
        <w:tc>
          <w:tcPr>
            <w:tcW w:w="1980" w:type="dxa"/>
            <w:vMerge/>
          </w:tcPr>
          <w:p w14:paraId="0A50E4A1" w14:textId="77777777" w:rsidR="002833A0" w:rsidRPr="00891DE7" w:rsidRDefault="002833A0" w:rsidP="00B9614A">
            <w:pPr>
              <w:pStyle w:val="Tabletext"/>
              <w:rPr>
                <w:sz w:val="20"/>
                <w:szCs w:val="20"/>
              </w:rPr>
            </w:pPr>
          </w:p>
        </w:tc>
        <w:tc>
          <w:tcPr>
            <w:tcW w:w="1800" w:type="dxa"/>
          </w:tcPr>
          <w:p w14:paraId="5C5FAE7B" w14:textId="77777777" w:rsidR="002833A0" w:rsidRPr="00891DE7" w:rsidRDefault="002833A0" w:rsidP="00B9614A">
            <w:pPr>
              <w:pStyle w:val="Tabletext"/>
              <w:rPr>
                <w:sz w:val="20"/>
                <w:szCs w:val="20"/>
              </w:rPr>
            </w:pPr>
            <w:r w:rsidRPr="00891DE7">
              <w:rPr>
                <w:sz w:val="20"/>
                <w:szCs w:val="20"/>
              </w:rPr>
              <w:t>Infiltration</w:t>
            </w:r>
          </w:p>
        </w:tc>
        <w:tc>
          <w:tcPr>
            <w:tcW w:w="4810" w:type="dxa"/>
          </w:tcPr>
          <w:p w14:paraId="5DB59526" w14:textId="77777777" w:rsidR="002833A0" w:rsidRPr="00891DE7" w:rsidRDefault="002833A0" w:rsidP="00B9614A">
            <w:pPr>
              <w:pStyle w:val="Tabletext"/>
              <w:rPr>
                <w:sz w:val="20"/>
                <w:szCs w:val="20"/>
              </w:rPr>
            </w:pPr>
            <w:r w:rsidRPr="00891DE7">
              <w:rPr>
                <w:sz w:val="20"/>
                <w:szCs w:val="20"/>
              </w:rPr>
              <w:t>Frequency of draft</w:t>
            </w:r>
          </w:p>
        </w:tc>
        <w:tc>
          <w:tcPr>
            <w:tcW w:w="770" w:type="dxa"/>
          </w:tcPr>
          <w:p w14:paraId="1A27C54C"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D4C40F7" w14:textId="77777777" w:rsidTr="00891DE7">
        <w:tc>
          <w:tcPr>
            <w:tcW w:w="1980" w:type="dxa"/>
            <w:vMerge/>
          </w:tcPr>
          <w:p w14:paraId="1CE6958A" w14:textId="77777777" w:rsidR="002833A0" w:rsidRPr="00891DE7" w:rsidRDefault="002833A0" w:rsidP="00B9614A">
            <w:pPr>
              <w:pStyle w:val="Tabletext"/>
              <w:rPr>
                <w:sz w:val="20"/>
                <w:szCs w:val="20"/>
              </w:rPr>
            </w:pPr>
          </w:p>
        </w:tc>
        <w:tc>
          <w:tcPr>
            <w:tcW w:w="1800" w:type="dxa"/>
          </w:tcPr>
          <w:p w14:paraId="550383CE" w14:textId="77777777" w:rsidR="002833A0" w:rsidRPr="00891DE7" w:rsidRDefault="002833A0" w:rsidP="00B9614A">
            <w:pPr>
              <w:pStyle w:val="Tabletext"/>
              <w:rPr>
                <w:sz w:val="20"/>
                <w:szCs w:val="20"/>
              </w:rPr>
            </w:pPr>
            <w:r w:rsidRPr="00891DE7">
              <w:rPr>
                <w:sz w:val="20"/>
                <w:szCs w:val="20"/>
              </w:rPr>
              <w:t>Window per room</w:t>
            </w:r>
          </w:p>
        </w:tc>
        <w:tc>
          <w:tcPr>
            <w:tcW w:w="4810" w:type="dxa"/>
          </w:tcPr>
          <w:p w14:paraId="02E46A47" w14:textId="77777777" w:rsidR="002833A0" w:rsidRPr="00891DE7" w:rsidRDefault="002833A0" w:rsidP="00B9614A">
            <w:pPr>
              <w:pStyle w:val="Tabletext"/>
              <w:rPr>
                <w:sz w:val="20"/>
                <w:szCs w:val="20"/>
              </w:rPr>
            </w:pPr>
            <w:r w:rsidRPr="00891DE7">
              <w:rPr>
                <w:sz w:val="20"/>
                <w:szCs w:val="20"/>
              </w:rPr>
              <w:t>Number of windows per room as an approximation for window-to-wall ratio</w:t>
            </w:r>
          </w:p>
        </w:tc>
        <w:tc>
          <w:tcPr>
            <w:tcW w:w="770" w:type="dxa"/>
          </w:tcPr>
          <w:p w14:paraId="0FCDE39D"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1C0C5A3B" w14:textId="77777777" w:rsidTr="00891DE7">
        <w:tc>
          <w:tcPr>
            <w:tcW w:w="1980" w:type="dxa"/>
            <w:vMerge/>
          </w:tcPr>
          <w:p w14:paraId="1165163B" w14:textId="77777777" w:rsidR="002833A0" w:rsidRPr="00891DE7" w:rsidRDefault="002833A0" w:rsidP="00B9614A">
            <w:pPr>
              <w:pStyle w:val="Tabletext"/>
              <w:rPr>
                <w:sz w:val="20"/>
                <w:szCs w:val="20"/>
              </w:rPr>
            </w:pPr>
          </w:p>
        </w:tc>
        <w:tc>
          <w:tcPr>
            <w:tcW w:w="1800" w:type="dxa"/>
          </w:tcPr>
          <w:p w14:paraId="6E128862" w14:textId="77777777" w:rsidR="002833A0" w:rsidRPr="00891DE7" w:rsidRDefault="002833A0" w:rsidP="00B9614A">
            <w:pPr>
              <w:pStyle w:val="Tabletext"/>
              <w:rPr>
                <w:sz w:val="20"/>
                <w:szCs w:val="20"/>
              </w:rPr>
            </w:pPr>
            <w:r w:rsidRPr="00891DE7">
              <w:rPr>
                <w:sz w:val="20"/>
                <w:szCs w:val="20"/>
              </w:rPr>
              <w:t>Glazing type</w:t>
            </w:r>
          </w:p>
        </w:tc>
        <w:tc>
          <w:tcPr>
            <w:tcW w:w="4810" w:type="dxa"/>
          </w:tcPr>
          <w:p w14:paraId="58070538" w14:textId="77777777" w:rsidR="002833A0" w:rsidRPr="00891DE7" w:rsidRDefault="002833A0" w:rsidP="00B9614A">
            <w:pPr>
              <w:pStyle w:val="Tabletext"/>
              <w:rPr>
                <w:sz w:val="20"/>
                <w:szCs w:val="20"/>
              </w:rPr>
            </w:pPr>
            <w:r w:rsidRPr="00891DE7">
              <w:rPr>
                <w:sz w:val="20"/>
                <w:szCs w:val="20"/>
              </w:rPr>
              <w:t>Type of glass in most windows</w:t>
            </w:r>
          </w:p>
        </w:tc>
        <w:tc>
          <w:tcPr>
            <w:tcW w:w="770" w:type="dxa"/>
          </w:tcPr>
          <w:p w14:paraId="20602BA8"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79801428" w14:textId="77777777" w:rsidTr="00891DE7">
        <w:tc>
          <w:tcPr>
            <w:tcW w:w="1980" w:type="dxa"/>
            <w:vMerge w:val="restart"/>
          </w:tcPr>
          <w:p w14:paraId="20EE4C92" w14:textId="78D67BEF" w:rsidR="002833A0" w:rsidRPr="00891DE7" w:rsidRDefault="002833A0" w:rsidP="00B9614A">
            <w:pPr>
              <w:pStyle w:val="Tabletext"/>
              <w:rPr>
                <w:sz w:val="20"/>
                <w:szCs w:val="20"/>
              </w:rPr>
            </w:pPr>
            <w:r w:rsidRPr="00891DE7">
              <w:rPr>
                <w:sz w:val="20"/>
                <w:szCs w:val="20"/>
              </w:rPr>
              <w:t>Building</w:t>
            </w:r>
            <w:r w:rsidRPr="00891DE7">
              <w:rPr>
                <w:sz w:val="20"/>
                <w:szCs w:val="20"/>
              </w:rPr>
              <w:t>s:</w:t>
            </w:r>
            <w:r w:rsidRPr="00891DE7">
              <w:rPr>
                <w:sz w:val="20"/>
                <w:szCs w:val="20"/>
              </w:rPr>
              <w:t xml:space="preserve"> HVAC</w:t>
            </w:r>
          </w:p>
        </w:tc>
        <w:tc>
          <w:tcPr>
            <w:tcW w:w="1800" w:type="dxa"/>
          </w:tcPr>
          <w:p w14:paraId="70FC4D49" w14:textId="77777777" w:rsidR="002833A0" w:rsidRPr="00891DE7" w:rsidRDefault="002833A0" w:rsidP="00B9614A">
            <w:pPr>
              <w:pStyle w:val="Tabletext"/>
              <w:rPr>
                <w:sz w:val="20"/>
                <w:szCs w:val="20"/>
              </w:rPr>
            </w:pPr>
            <w:r w:rsidRPr="00891DE7">
              <w:rPr>
                <w:sz w:val="20"/>
                <w:szCs w:val="20"/>
              </w:rPr>
              <w:t>AC type</w:t>
            </w:r>
          </w:p>
        </w:tc>
        <w:tc>
          <w:tcPr>
            <w:tcW w:w="4810" w:type="dxa"/>
          </w:tcPr>
          <w:p w14:paraId="1A2DD7F7" w14:textId="77777777" w:rsidR="002833A0" w:rsidRPr="00891DE7" w:rsidRDefault="002833A0" w:rsidP="00B9614A">
            <w:pPr>
              <w:pStyle w:val="Tabletext"/>
              <w:rPr>
                <w:sz w:val="20"/>
                <w:szCs w:val="20"/>
              </w:rPr>
            </w:pPr>
            <w:r w:rsidRPr="00891DE7">
              <w:rPr>
                <w:sz w:val="20"/>
                <w:szCs w:val="20"/>
              </w:rPr>
              <w:t>Air conditioning equipment used</w:t>
            </w:r>
          </w:p>
        </w:tc>
        <w:tc>
          <w:tcPr>
            <w:tcW w:w="770" w:type="dxa"/>
          </w:tcPr>
          <w:p w14:paraId="6BC2EE87" w14:textId="63A3A478" w:rsidR="002833A0" w:rsidRPr="00891DE7" w:rsidRDefault="005B308F" w:rsidP="00B9614A">
            <w:pPr>
              <w:pStyle w:val="Tabletext"/>
              <w:jc w:val="center"/>
              <w:rPr>
                <w:sz w:val="20"/>
                <w:szCs w:val="20"/>
              </w:rPr>
            </w:pPr>
            <w:r>
              <w:rPr>
                <w:sz w:val="20"/>
                <w:szCs w:val="20"/>
              </w:rPr>
              <w:t>N</w:t>
            </w:r>
          </w:p>
        </w:tc>
      </w:tr>
      <w:tr w:rsidR="002833A0" w:rsidRPr="00891DE7" w14:paraId="0D88DF36" w14:textId="77777777" w:rsidTr="00891DE7">
        <w:tc>
          <w:tcPr>
            <w:tcW w:w="1980" w:type="dxa"/>
            <w:vMerge/>
          </w:tcPr>
          <w:p w14:paraId="41922B48" w14:textId="77777777" w:rsidR="002833A0" w:rsidRPr="00891DE7" w:rsidRDefault="002833A0" w:rsidP="00B9614A">
            <w:pPr>
              <w:pStyle w:val="Tabletext"/>
              <w:rPr>
                <w:sz w:val="20"/>
                <w:szCs w:val="20"/>
              </w:rPr>
            </w:pPr>
          </w:p>
        </w:tc>
        <w:tc>
          <w:tcPr>
            <w:tcW w:w="1800" w:type="dxa"/>
          </w:tcPr>
          <w:p w14:paraId="1F934073" w14:textId="77777777" w:rsidR="002833A0" w:rsidRPr="00891DE7" w:rsidRDefault="002833A0" w:rsidP="00B9614A">
            <w:pPr>
              <w:pStyle w:val="Tabletext"/>
              <w:rPr>
                <w:sz w:val="20"/>
                <w:szCs w:val="20"/>
              </w:rPr>
            </w:pPr>
            <w:r w:rsidRPr="00891DE7">
              <w:rPr>
                <w:sz w:val="20"/>
                <w:szCs w:val="20"/>
              </w:rPr>
              <w:t>Heating type</w:t>
            </w:r>
          </w:p>
        </w:tc>
        <w:tc>
          <w:tcPr>
            <w:tcW w:w="4810" w:type="dxa"/>
          </w:tcPr>
          <w:p w14:paraId="6F1C46B4" w14:textId="6ADE7165" w:rsidR="002833A0" w:rsidRPr="00891DE7" w:rsidRDefault="002833A0" w:rsidP="00B9614A">
            <w:pPr>
              <w:pStyle w:val="Tabletext"/>
              <w:rPr>
                <w:sz w:val="20"/>
                <w:szCs w:val="20"/>
              </w:rPr>
            </w:pPr>
            <w:r w:rsidRPr="00891DE7">
              <w:rPr>
                <w:sz w:val="20"/>
                <w:szCs w:val="20"/>
              </w:rPr>
              <w:t xml:space="preserve">Space heating </w:t>
            </w:r>
            <w:r w:rsidR="005B308F">
              <w:rPr>
                <w:sz w:val="20"/>
                <w:szCs w:val="20"/>
              </w:rPr>
              <w:t xml:space="preserve">equipment </w:t>
            </w:r>
            <w:r w:rsidRPr="00891DE7">
              <w:rPr>
                <w:sz w:val="20"/>
                <w:szCs w:val="20"/>
              </w:rPr>
              <w:t>used</w:t>
            </w:r>
          </w:p>
        </w:tc>
        <w:tc>
          <w:tcPr>
            <w:tcW w:w="770" w:type="dxa"/>
          </w:tcPr>
          <w:p w14:paraId="2AD159CF" w14:textId="719E0C10" w:rsidR="002833A0" w:rsidRPr="00891DE7" w:rsidRDefault="005B308F" w:rsidP="00B9614A">
            <w:pPr>
              <w:pStyle w:val="Tabletext"/>
              <w:jc w:val="center"/>
              <w:rPr>
                <w:sz w:val="20"/>
                <w:szCs w:val="20"/>
              </w:rPr>
            </w:pPr>
            <w:r>
              <w:rPr>
                <w:sz w:val="20"/>
                <w:szCs w:val="20"/>
              </w:rPr>
              <w:t>N</w:t>
            </w:r>
          </w:p>
        </w:tc>
      </w:tr>
      <w:tr w:rsidR="002833A0" w:rsidRPr="00891DE7" w14:paraId="3F47AD24" w14:textId="77777777" w:rsidTr="00891DE7">
        <w:tc>
          <w:tcPr>
            <w:tcW w:w="1980" w:type="dxa"/>
            <w:vMerge/>
          </w:tcPr>
          <w:p w14:paraId="56E7C626" w14:textId="77777777" w:rsidR="002833A0" w:rsidRPr="00891DE7" w:rsidRDefault="002833A0" w:rsidP="00B9614A">
            <w:pPr>
              <w:pStyle w:val="Tabletext"/>
              <w:rPr>
                <w:sz w:val="20"/>
                <w:szCs w:val="20"/>
              </w:rPr>
            </w:pPr>
          </w:p>
        </w:tc>
        <w:tc>
          <w:tcPr>
            <w:tcW w:w="1800" w:type="dxa"/>
          </w:tcPr>
          <w:p w14:paraId="14A98E1A" w14:textId="77777777" w:rsidR="002833A0" w:rsidRPr="00891DE7" w:rsidRDefault="002833A0" w:rsidP="00B9614A">
            <w:pPr>
              <w:pStyle w:val="Tabletext"/>
              <w:rPr>
                <w:sz w:val="20"/>
                <w:szCs w:val="20"/>
              </w:rPr>
            </w:pPr>
            <w:r w:rsidRPr="00891DE7">
              <w:rPr>
                <w:sz w:val="20"/>
                <w:szCs w:val="20"/>
              </w:rPr>
              <w:t>Energy insecurity</w:t>
            </w:r>
          </w:p>
        </w:tc>
        <w:tc>
          <w:tcPr>
            <w:tcW w:w="4810" w:type="dxa"/>
          </w:tcPr>
          <w:p w14:paraId="47BD3D4F" w14:textId="77777777" w:rsidR="002833A0" w:rsidRPr="00891DE7" w:rsidRDefault="002833A0" w:rsidP="00B9614A">
            <w:pPr>
              <w:pStyle w:val="Tabletext"/>
              <w:rPr>
                <w:sz w:val="20"/>
                <w:szCs w:val="20"/>
              </w:rPr>
            </w:pPr>
            <w:r w:rsidRPr="00891DE7">
              <w:rPr>
                <w:sz w:val="20"/>
                <w:szCs w:val="20"/>
              </w:rPr>
              <w:t>Household reported difficulty paying energy bills; repairing or replacing broken heating or cooling equipment; or that they had kept their home at unsafe temperatures because of cost concerns</w:t>
            </w:r>
          </w:p>
        </w:tc>
        <w:tc>
          <w:tcPr>
            <w:tcW w:w="770" w:type="dxa"/>
          </w:tcPr>
          <w:p w14:paraId="41E5CC93" w14:textId="77777777" w:rsidR="002833A0" w:rsidRPr="00891DE7" w:rsidRDefault="002833A0" w:rsidP="00B9614A">
            <w:pPr>
              <w:pStyle w:val="Tabletext"/>
              <w:jc w:val="center"/>
              <w:rPr>
                <w:sz w:val="20"/>
                <w:szCs w:val="20"/>
              </w:rPr>
            </w:pPr>
            <w:r w:rsidRPr="00891DE7">
              <w:rPr>
                <w:sz w:val="20"/>
                <w:szCs w:val="20"/>
              </w:rPr>
              <w:t>B</w:t>
            </w:r>
          </w:p>
        </w:tc>
      </w:tr>
      <w:tr w:rsidR="002833A0" w:rsidRPr="00891DE7" w14:paraId="2F57B931" w14:textId="77777777" w:rsidTr="00891DE7">
        <w:tc>
          <w:tcPr>
            <w:tcW w:w="1980" w:type="dxa"/>
            <w:vMerge/>
          </w:tcPr>
          <w:p w14:paraId="3BCA1838" w14:textId="77777777" w:rsidR="002833A0" w:rsidRPr="00891DE7" w:rsidRDefault="002833A0" w:rsidP="00B9614A">
            <w:pPr>
              <w:pStyle w:val="Tabletext"/>
              <w:rPr>
                <w:sz w:val="20"/>
                <w:szCs w:val="20"/>
              </w:rPr>
            </w:pPr>
          </w:p>
        </w:tc>
        <w:tc>
          <w:tcPr>
            <w:tcW w:w="1800" w:type="dxa"/>
          </w:tcPr>
          <w:p w14:paraId="530FE386" w14:textId="77777777" w:rsidR="002833A0" w:rsidRPr="00891DE7" w:rsidRDefault="002833A0" w:rsidP="00B9614A">
            <w:pPr>
              <w:pStyle w:val="Tabletext"/>
              <w:rPr>
                <w:sz w:val="20"/>
                <w:szCs w:val="20"/>
              </w:rPr>
            </w:pPr>
            <w:r w:rsidRPr="00891DE7">
              <w:rPr>
                <w:sz w:val="20"/>
                <w:szCs w:val="20"/>
              </w:rPr>
              <w:t>Fans</w:t>
            </w:r>
          </w:p>
        </w:tc>
        <w:tc>
          <w:tcPr>
            <w:tcW w:w="4810" w:type="dxa"/>
          </w:tcPr>
          <w:p w14:paraId="23987AF3" w14:textId="77777777" w:rsidR="002833A0" w:rsidRPr="00891DE7" w:rsidRDefault="002833A0" w:rsidP="00B9614A">
            <w:pPr>
              <w:pStyle w:val="Tabletext"/>
              <w:rPr>
                <w:sz w:val="20"/>
                <w:szCs w:val="20"/>
              </w:rPr>
            </w:pPr>
            <w:r w:rsidRPr="00891DE7">
              <w:rPr>
                <w:sz w:val="20"/>
                <w:szCs w:val="20"/>
              </w:rPr>
              <w:t>Number of ceiling, floor, window, and/or table fans used</w:t>
            </w:r>
          </w:p>
        </w:tc>
        <w:tc>
          <w:tcPr>
            <w:tcW w:w="770" w:type="dxa"/>
          </w:tcPr>
          <w:p w14:paraId="2BB18C01" w14:textId="77777777" w:rsidR="002833A0" w:rsidRPr="00891DE7" w:rsidRDefault="002833A0" w:rsidP="00B9614A">
            <w:pPr>
              <w:pStyle w:val="Tabletext"/>
              <w:jc w:val="center"/>
              <w:rPr>
                <w:sz w:val="20"/>
                <w:szCs w:val="20"/>
              </w:rPr>
            </w:pPr>
            <w:r w:rsidRPr="00891DE7">
              <w:rPr>
                <w:sz w:val="20"/>
                <w:szCs w:val="20"/>
              </w:rPr>
              <w:t>N</w:t>
            </w:r>
          </w:p>
        </w:tc>
      </w:tr>
      <w:tr w:rsidR="002833A0" w:rsidRPr="00891DE7" w14:paraId="38D44E96" w14:textId="77777777" w:rsidTr="00891DE7">
        <w:trPr>
          <w:trHeight w:val="56"/>
        </w:trPr>
        <w:tc>
          <w:tcPr>
            <w:tcW w:w="1980" w:type="dxa"/>
            <w:vMerge/>
          </w:tcPr>
          <w:p w14:paraId="53684ED0" w14:textId="77777777" w:rsidR="002833A0" w:rsidRPr="00891DE7" w:rsidRDefault="002833A0" w:rsidP="00B9614A">
            <w:pPr>
              <w:pStyle w:val="Tabletext"/>
              <w:rPr>
                <w:sz w:val="20"/>
                <w:szCs w:val="20"/>
              </w:rPr>
            </w:pPr>
          </w:p>
        </w:tc>
        <w:tc>
          <w:tcPr>
            <w:tcW w:w="1800" w:type="dxa"/>
          </w:tcPr>
          <w:p w14:paraId="63A45C60" w14:textId="77777777" w:rsidR="002833A0" w:rsidRPr="00891DE7" w:rsidRDefault="002833A0" w:rsidP="00B9614A">
            <w:pPr>
              <w:pStyle w:val="Tabletext"/>
              <w:rPr>
                <w:sz w:val="20"/>
                <w:szCs w:val="20"/>
              </w:rPr>
            </w:pPr>
            <w:r w:rsidRPr="00891DE7">
              <w:rPr>
                <w:sz w:val="20"/>
                <w:szCs w:val="20"/>
              </w:rPr>
              <w:t>Off-grid</w:t>
            </w:r>
          </w:p>
        </w:tc>
        <w:tc>
          <w:tcPr>
            <w:tcW w:w="4810" w:type="dxa"/>
          </w:tcPr>
          <w:p w14:paraId="3378AE69" w14:textId="77777777" w:rsidR="002833A0" w:rsidRPr="00891DE7" w:rsidRDefault="002833A0" w:rsidP="00B9614A">
            <w:pPr>
              <w:pStyle w:val="Tabletext"/>
              <w:rPr>
                <w:sz w:val="20"/>
                <w:szCs w:val="20"/>
              </w:rPr>
            </w:pPr>
            <w:r w:rsidRPr="00891DE7">
              <w:rPr>
                <w:sz w:val="20"/>
                <w:szCs w:val="20"/>
              </w:rPr>
              <w:t>Home has back-up generator or on-site solar electricity generation</w:t>
            </w:r>
          </w:p>
        </w:tc>
        <w:tc>
          <w:tcPr>
            <w:tcW w:w="770" w:type="dxa"/>
          </w:tcPr>
          <w:p w14:paraId="37C7BC53" w14:textId="77777777" w:rsidR="002833A0" w:rsidRPr="00891DE7" w:rsidRDefault="002833A0" w:rsidP="00B9614A">
            <w:pPr>
              <w:pStyle w:val="Tabletext"/>
              <w:jc w:val="center"/>
              <w:rPr>
                <w:sz w:val="20"/>
                <w:szCs w:val="20"/>
              </w:rPr>
            </w:pPr>
            <w:r w:rsidRPr="00891DE7">
              <w:rPr>
                <w:sz w:val="20"/>
                <w:szCs w:val="20"/>
              </w:rPr>
              <w:t>B</w:t>
            </w:r>
          </w:p>
        </w:tc>
      </w:tr>
    </w:tbl>
    <w:p w14:paraId="6B79B6D4" w14:textId="5718A977" w:rsidR="001076D9" w:rsidRDefault="001076D9" w:rsidP="001076D9">
      <w:pPr>
        <w:pStyle w:val="Tabletext"/>
        <w:spacing w:after="160"/>
      </w:pPr>
      <w:r>
        <w:rPr>
          <w:vertAlign w:val="superscript"/>
        </w:rPr>
        <w:t>a</w:t>
      </w:r>
      <w:r>
        <w:t xml:space="preserve"> Type includes numerical (N) and binary (B)</w:t>
      </w:r>
    </w:p>
    <w:p w14:paraId="27A3FBE2" w14:textId="4BA63652" w:rsidR="00ED50F0" w:rsidRDefault="00ED50F0" w:rsidP="00ED50F0">
      <w:pPr>
        <w:pStyle w:val="Heading3List"/>
      </w:pPr>
      <w:r>
        <w:t>Building</w:t>
      </w:r>
      <w:r w:rsidR="004960B2">
        <w:t xml:space="preserve">s: </w:t>
      </w:r>
      <w:r>
        <w:t>construction</w:t>
      </w:r>
    </w:p>
    <w:p w14:paraId="5902C6F2" w14:textId="77777777" w:rsidR="00ED50F0" w:rsidRDefault="00ED50F0" w:rsidP="00ED50F0">
      <w:r>
        <w:t xml:space="preserve">Building construction represents variables related to the building age and form. As mentioned in Section </w:t>
      </w:r>
      <w:r>
        <w:fldChar w:fldCharType="begin"/>
      </w:r>
      <w:r>
        <w:instrText xml:space="preserve"> REF _Ref150108267 \r \h </w:instrText>
      </w:r>
      <w:r>
        <w:fldChar w:fldCharType="separate"/>
      </w:r>
      <w:r>
        <w:t>1.2</w:t>
      </w:r>
      <w:r>
        <w:fldChar w:fldCharType="end"/>
      </w:r>
      <w:r>
        <w:t xml:space="preserve">, several city and state-level HVI use construction age as a catch-all for other building characteristics </w:t>
      </w:r>
      <w:r>
        <w:fldChar w:fldCharType="begin"/>
      </w:r>
      <w:r>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w:t>
      </w:r>
      <w:proofErr w:type="spellStart"/>
      <w:r w:rsidRPr="00C94FC7">
        <w:t>Rinner</w:t>
      </w:r>
      <w:proofErr w:type="spellEnd"/>
      <w:r w:rsidRPr="00C94FC7">
        <w:t xml:space="preserve"> et al. 2010; </w:t>
      </w:r>
      <w:proofErr w:type="spellStart"/>
      <w:r w:rsidRPr="00C94FC7">
        <w:t>Uejio</w:t>
      </w:r>
      <w:proofErr w:type="spellEnd"/>
      <w:r w:rsidRPr="00C94FC7">
        <w:t xml:space="preserve">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w:t>
      </w:r>
      <w:proofErr w:type="spellStart"/>
      <w:r w:rsidRPr="00E606B8">
        <w:t>Mavrogianni</w:t>
      </w:r>
      <w:proofErr w:type="spellEnd"/>
      <w:r w:rsidRPr="00E606B8">
        <w:t xml:space="preserve"> et al. 2012)</w:t>
      </w:r>
      <w:r>
        <w:fldChar w:fldCharType="end"/>
      </w:r>
      <w:r>
        <w:t xml:space="preserve">. Samuelson et al. </w:t>
      </w:r>
      <w:r>
        <w:fldChar w:fldCharType="begin"/>
      </w:r>
      <w:r>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suggests that detached buildings may be less vulnerable due to a greater potential for exposed walls to exchange heat and more opportunities for cross-ventilation. Similarly, Lomas </w:t>
      </w:r>
      <w:r>
        <w:fldChar w:fldCharType="begin"/>
      </w:r>
      <w:r>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Pr="000732E2">
        <w:t>(Lomas 2021)</w:t>
      </w:r>
      <w:r>
        <w:fldChar w:fldCharType="end"/>
      </w:r>
      <w:r>
        <w:t xml:space="preserve"> singles out flats or apartments because of more limited opportunities for natural ventilation. Mobile or manufactured homes may also increase heat or cold exposure due to poor energy efficiency </w:t>
      </w:r>
      <w:r>
        <w:fldChar w:fldCharType="begin"/>
      </w:r>
      <w:r>
        <w:instrText xml:space="preserve"> ADDIN ZOTERO_ITEM CSL_CITATION {"citationID":"OPpKcxNK","properties":{"formattedCitation":"(Harrison and Popke 2011)","plainCitation":"(Harrison and Popke 2011)","noteIndex":0},"citationItems":[{"id":1687,"uris":["http://zotero.org/users/4259226/items/C4Z39XCT"],"itemData":{"id":1687,"type":"article-journal","abstract":"Current discussions of energy policy seldom acknowledge the problem of energy poverty, a situation in which a household cannot afford to adequately heat or cool the home. In this article, we examine the concept of energy poverty and describe some of its contours in a rural part of North Carolina. Energy poverty, we suggest, is best viewed as a geographical assemblage of networked materialities and socioeconomic relations. To illustrate this approach, we focus on the geographical patterns of three key determinants of energy poverty in eastern North Carolina: the socioeconomic characteristics of rural households, the networked infrastructures of energy provision, and the material conditions of the home. Throughout, we highlight the lived effects of energy poverty, drawing on transcripts from interviews conducted with recipients of weatherization assistance in the region. The challenges of the energy poor, we suggest, deserve greater attention in public policy and as part of a broader understanding of welfare and care. </w:instrText>
      </w:r>
      <w:r>
        <w:rPr>
          <w:rFonts w:ascii="MS Gothic" w:eastAsia="MS Gothic" w:hAnsi="MS Gothic" w:cs="MS Gothic" w:hint="eastAsia"/>
        </w:rPr>
        <w:instrText>能源政策的当前</w:instrText>
      </w:r>
      <w:r>
        <w:rPr>
          <w:rFonts w:ascii="Microsoft JhengHei" w:eastAsia="Microsoft JhengHei" w:hAnsi="Microsoft JhengHei" w:cs="Microsoft JhengHei" w:hint="eastAsia"/>
        </w:rPr>
        <w:instrText>讨论</w:instrText>
      </w:r>
      <w:r>
        <w:rPr>
          <w:rFonts w:ascii="MS Gothic" w:eastAsia="MS Gothic" w:hAnsi="MS Gothic" w:cs="MS Gothic" w:hint="eastAsia"/>
        </w:rPr>
        <w:instrText>很少承</w:instrText>
      </w:r>
      <w:r>
        <w:rPr>
          <w:rFonts w:ascii="Microsoft JhengHei" w:eastAsia="Microsoft JhengHei" w:hAnsi="Microsoft JhengHei" w:cs="Microsoft JhengHei" w:hint="eastAsia"/>
        </w:rPr>
        <w:instrText>认</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w:instrText>
      </w:r>
      <w:r>
        <w:rPr>
          <w:rFonts w:ascii="Microsoft JhengHei" w:eastAsia="Microsoft JhengHei" w:hAnsi="Microsoft JhengHei" w:cs="Microsoft JhengHei" w:hint="eastAsia"/>
        </w:rPr>
        <w:instrText>问题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种情况使一个家庭</w:instrText>
      </w:r>
      <w:r>
        <w:rPr>
          <w:rFonts w:ascii="Microsoft JhengHei" w:eastAsia="Microsoft JhengHei" w:hAnsi="Microsoft JhengHei" w:cs="Microsoft JhengHei" w:hint="eastAsia"/>
        </w:rPr>
        <w:instrText>负</w:instrText>
      </w:r>
      <w:r>
        <w:rPr>
          <w:rFonts w:ascii="MS Gothic" w:eastAsia="MS Gothic" w:hAnsi="MS Gothic" w:cs="MS Gothic" w:hint="eastAsia"/>
        </w:rPr>
        <w:instrText>担不起家庭所需充分加</w:instrText>
      </w:r>
      <w:r>
        <w:rPr>
          <w:rFonts w:ascii="Microsoft JhengHei" w:eastAsia="Microsoft JhengHei" w:hAnsi="Microsoft JhengHei" w:cs="Microsoft JhengHei" w:hint="eastAsia"/>
        </w:rPr>
        <w:instrText>热</w:instrText>
      </w:r>
      <w:r>
        <w:rPr>
          <w:rFonts w:ascii="MS Gothic" w:eastAsia="MS Gothic" w:hAnsi="MS Gothic" w:cs="MS Gothic" w:hint="eastAsia"/>
        </w:rPr>
        <w:instrText>或冷却的</w:instrText>
      </w:r>
      <w:r>
        <w:rPr>
          <w:rFonts w:ascii="Microsoft JhengHei" w:eastAsia="Microsoft JhengHei" w:hAnsi="Microsoft JhengHei" w:cs="Microsoft JhengHei" w:hint="eastAsia"/>
        </w:rPr>
        <w:instrText>费</w:instrText>
      </w:r>
      <w:r>
        <w:rPr>
          <w:rFonts w:ascii="MS Gothic" w:eastAsia="MS Gothic" w:hAnsi="MS Gothic" w:cs="MS Gothic" w:hint="eastAsia"/>
        </w:rPr>
        <w:instrText>用。在</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篇文章中，我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考察了能源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的概念和描述它在北卡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乡</w:instrText>
      </w:r>
      <w:r>
        <w:rPr>
          <w:rFonts w:ascii="MS Gothic" w:eastAsia="MS Gothic" w:hAnsi="MS Gothic" w:cs="MS Gothic" w:hint="eastAsia"/>
        </w:rPr>
        <w:instrText>村地区的一些</w:instrText>
      </w:r>
      <w:r>
        <w:rPr>
          <w:rFonts w:ascii="Microsoft JhengHei" w:eastAsia="Microsoft JhengHei" w:hAnsi="Microsoft JhengHei" w:cs="Microsoft JhengHei" w:hint="eastAsia"/>
        </w:rPr>
        <w:instrText>轮</w:instrText>
      </w:r>
      <w:r>
        <w:rPr>
          <w:rFonts w:ascii="MS Gothic" w:eastAsia="MS Gothic" w:hAnsi="MS Gothic" w:cs="MS Gothic" w:hint="eastAsia"/>
        </w:rPr>
        <w:instrText>廓。我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，最好被看作是网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物</w:instrText>
      </w:r>
      <w:r>
        <w:rPr>
          <w:rFonts w:ascii="Microsoft JhengHei" w:eastAsia="Microsoft JhengHei" w:hAnsi="Microsoft JhengHei" w:cs="Microsoft JhengHei" w:hint="eastAsia"/>
        </w:rPr>
        <w:instrText>资</w:instrText>
      </w:r>
      <w:r>
        <w:rPr>
          <w:rFonts w:ascii="MS Gothic" w:eastAsia="MS Gothic" w:hAnsi="MS Gothic" w:cs="MS Gothic" w:hint="eastAsia"/>
        </w:rPr>
        <w:instrText>和社会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关系的地理</w:instrText>
      </w:r>
      <w:r>
        <w:rPr>
          <w:rFonts w:ascii="Microsoft JhengHei" w:eastAsia="Microsoft JhengHei" w:hAnsi="Microsoft JhengHei" w:cs="Microsoft JhengHei" w:hint="eastAsia"/>
        </w:rPr>
        <w:instrText>组</w:instrText>
      </w:r>
      <w:r>
        <w:rPr>
          <w:rFonts w:ascii="MS Gothic" w:eastAsia="MS Gothic" w:hAnsi="MS Gothic" w:cs="MS Gothic" w:hint="eastAsia"/>
        </w:rPr>
        <w:instrText>合。</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了</w:instrText>
      </w:r>
      <w:r>
        <w:rPr>
          <w:rFonts w:ascii="Microsoft JhengHei" w:eastAsia="Microsoft JhengHei" w:hAnsi="Microsoft JhengHei" w:cs="Microsoft JhengHei" w:hint="eastAsia"/>
        </w:rPr>
        <w:instrText>说</w:instrText>
      </w:r>
      <w:r>
        <w:rPr>
          <w:rFonts w:ascii="MS Gothic" w:eastAsia="MS Gothic" w:hAnsi="MS Gothic" w:cs="MS Gothic" w:hint="eastAsia"/>
        </w:rPr>
        <w:instrText>明</w:instrText>
      </w:r>
      <w:r>
        <w:rPr>
          <w:rFonts w:ascii="Microsoft JhengHei" w:eastAsia="Microsoft JhengHei" w:hAnsi="Microsoft JhengHei" w:cs="Microsoft JhengHei" w:hint="eastAsia"/>
        </w:rPr>
        <w:instrText>这</w:instrText>
      </w:r>
      <w:r>
        <w:rPr>
          <w:rFonts w:ascii="MS Gothic" w:eastAsia="MS Gothic" w:hAnsi="MS Gothic" w:cs="MS Gothic" w:hint="eastAsia"/>
        </w:rPr>
        <w:instrText>种方法，我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着重于北卡</w:instrText>
      </w:r>
      <w:r>
        <w:rPr>
          <w:rFonts w:ascii="Microsoft JhengHei" w:eastAsia="Microsoft JhengHei" w:hAnsi="Microsoft JhengHei" w:cs="Microsoft JhengHei" w:hint="eastAsia"/>
        </w:rPr>
        <w:instrText>罗</w:instrText>
      </w:r>
      <w:r>
        <w:rPr>
          <w:rFonts w:ascii="MS Gothic" w:eastAsia="MS Gothic" w:hAnsi="MS Gothic" w:cs="MS Gothic" w:hint="eastAsia"/>
        </w:rPr>
        <w:instrText>莱</w:instrText>
      </w:r>
      <w:r>
        <w:rPr>
          <w:rFonts w:ascii="Microsoft JhengHei" w:eastAsia="Microsoft JhengHei" w:hAnsi="Microsoft JhengHei" w:cs="Microsoft JhengHei" w:hint="eastAsia"/>
        </w:rPr>
        <w:instrText>纳</w:instrText>
      </w:r>
      <w:r>
        <w:rPr>
          <w:rFonts w:ascii="MS Gothic" w:eastAsia="MS Gothic" w:hAnsi="MS Gothic" w:cs="MS Gothic" w:hint="eastAsia"/>
        </w:rPr>
        <w:instrText>州</w:instrText>
      </w:r>
      <w:r>
        <w:rPr>
          <w:rFonts w:ascii="Microsoft JhengHei" w:eastAsia="Microsoft JhengHei" w:hAnsi="Microsoft JhengHei" w:cs="Microsoft JhengHei" w:hint="eastAsia"/>
        </w:rPr>
        <w:instrText>东</w:instrText>
      </w:r>
      <w:r>
        <w:rPr>
          <w:rFonts w:ascii="MS Gothic" w:eastAsia="MS Gothic" w:hAnsi="MS Gothic" w:cs="MS Gothic" w:hint="eastAsia"/>
        </w:rPr>
        <w:instrText>部的能源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困的三个关</w:instrText>
      </w:r>
      <w:r>
        <w:rPr>
          <w:rFonts w:ascii="Microsoft JhengHei" w:eastAsia="Microsoft JhengHei" w:hAnsi="Microsoft JhengHei" w:cs="Microsoft JhengHei" w:hint="eastAsia"/>
        </w:rPr>
        <w:instrText>键</w:instrText>
      </w:r>
      <w:r>
        <w:rPr>
          <w:rFonts w:ascii="MS Gothic" w:eastAsia="MS Gothic" w:hAnsi="MS Gothic" w:cs="MS Gothic" w:hint="eastAsia"/>
        </w:rPr>
        <w:instrText>因素的地理格局：</w:instrText>
      </w:r>
      <w:r>
        <w:rPr>
          <w:rFonts w:ascii="Microsoft JhengHei" w:eastAsia="Microsoft JhengHei" w:hAnsi="Microsoft JhengHei" w:cs="Microsoft JhengHei" w:hint="eastAsia"/>
        </w:rPr>
        <w:instrText>农</w:instrText>
      </w:r>
      <w:r>
        <w:rPr>
          <w:rFonts w:ascii="MS Gothic" w:eastAsia="MS Gothic" w:hAnsi="MS Gothic" w:cs="MS Gothic" w:hint="eastAsia"/>
        </w:rPr>
        <w:instrText>村家庭的杜会</w:instrText>
      </w:r>
      <w:r>
        <w:rPr>
          <w:rFonts w:ascii="Microsoft JhengHei" w:eastAsia="Microsoft JhengHei" w:hAnsi="Microsoft JhengHei" w:cs="Microsoft JhengHei" w:hint="eastAsia"/>
        </w:rPr>
        <w:instrText>经济</w:instrText>
      </w:r>
      <w:r>
        <w:rPr>
          <w:rFonts w:ascii="MS Gothic" w:eastAsia="MS Gothic" w:hAnsi="MS Gothic" w:cs="MS Gothic" w:hint="eastAsia"/>
        </w:rPr>
        <w:instrText>特点，能源供</w:instrText>
      </w:r>
      <w:r>
        <w:rPr>
          <w:rFonts w:ascii="Microsoft JhengHei" w:eastAsia="Microsoft JhengHei" w:hAnsi="Microsoft JhengHei" w:cs="Microsoft JhengHei" w:hint="eastAsia"/>
        </w:rPr>
        <w:instrText>应</w:instrText>
      </w:r>
      <w:r>
        <w:rPr>
          <w:rFonts w:ascii="MS Gothic" w:eastAsia="MS Gothic" w:hAnsi="MS Gothic" w:cs="MS Gothic" w:hint="eastAsia"/>
        </w:rPr>
        <w:instrText>的网</w:instrText>
      </w:r>
      <w:r>
        <w:rPr>
          <w:rFonts w:ascii="Microsoft JhengHei" w:eastAsia="Microsoft JhengHei" w:hAnsi="Microsoft JhengHei" w:cs="Microsoft JhengHei" w:hint="eastAsia"/>
        </w:rPr>
        <w:instrText>络</w:instrText>
      </w:r>
      <w:r>
        <w:rPr>
          <w:rFonts w:ascii="MS Gothic" w:eastAsia="MS Gothic" w:hAnsi="MS Gothic" w:cs="MS Gothic" w:hint="eastAsia"/>
        </w:rPr>
        <w:instrText>基</w:instrText>
      </w:r>
      <w:r>
        <w:rPr>
          <w:rFonts w:ascii="Microsoft JhengHei" w:eastAsia="Microsoft JhengHei" w:hAnsi="Microsoft JhengHei" w:cs="Microsoft JhengHei" w:hint="eastAsia"/>
        </w:rPr>
        <w:instrText>础设</w:instrText>
      </w:r>
      <w:r>
        <w:rPr>
          <w:rFonts w:ascii="MS Gothic" w:eastAsia="MS Gothic" w:hAnsi="MS Gothic" w:cs="MS Gothic" w:hint="eastAsia"/>
        </w:rPr>
        <w:instrText>施，以及家庭的物</w:instrText>
      </w:r>
      <w:r>
        <w:rPr>
          <w:rFonts w:ascii="Microsoft JhengHei" w:eastAsia="Microsoft JhengHei" w:hAnsi="Microsoft JhengHei" w:cs="Microsoft JhengHei" w:hint="eastAsia"/>
        </w:rPr>
        <w:instrText>质</w:instrText>
      </w:r>
      <w:r>
        <w:rPr>
          <w:rFonts w:ascii="MS Gothic" w:eastAsia="MS Gothic" w:hAnsi="MS Gothic" w:cs="MS Gothic" w:hint="eastAsia"/>
        </w:rPr>
        <w:instrText>条件。自始至</w:instrText>
      </w:r>
      <w:r>
        <w:rPr>
          <w:rFonts w:ascii="Microsoft JhengHei" w:eastAsia="Microsoft JhengHei" w:hAnsi="Microsoft JhengHei" w:cs="Microsoft JhengHei" w:hint="eastAsia"/>
        </w:rPr>
        <w:instrText>终</w:instrText>
      </w:r>
      <w:r>
        <w:rPr>
          <w:rFonts w:ascii="MS Gothic" w:eastAsia="MS Gothic" w:hAnsi="MS Gothic" w:cs="MS Gothic" w:hint="eastAsia"/>
        </w:rPr>
        <w:instrText>，我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通</w:instrText>
      </w:r>
      <w:r>
        <w:rPr>
          <w:rFonts w:ascii="Microsoft JhengHei" w:eastAsia="Microsoft JhengHei" w:hAnsi="Microsoft JhengHei" w:cs="Microsoft JhengHei" w:hint="eastAsia"/>
        </w:rPr>
        <w:instrText>过</w:instrText>
      </w:r>
      <w:r>
        <w:rPr>
          <w:rFonts w:ascii="MS Gothic" w:eastAsia="MS Gothic" w:hAnsi="MS Gothic" w:cs="MS Gothic" w:hint="eastAsia"/>
        </w:rPr>
        <w:instrText>借</w:instrText>
      </w:r>
      <w:r>
        <w:rPr>
          <w:rFonts w:ascii="Microsoft JhengHei" w:eastAsia="Microsoft JhengHei" w:hAnsi="Microsoft JhengHei" w:cs="Microsoft JhengHei" w:hint="eastAsia"/>
        </w:rPr>
        <w:instrText>鉴对该</w:instrText>
      </w:r>
      <w:r>
        <w:rPr>
          <w:rFonts w:ascii="MS Gothic" w:eastAsia="MS Gothic" w:hAnsi="MS Gothic" w:cs="MS Gothic" w:hint="eastAsia"/>
        </w:rPr>
        <w:instrText>地区防寒保暖援助受惠人的采</w:instrText>
      </w:r>
      <w:r>
        <w:rPr>
          <w:rFonts w:ascii="Microsoft JhengHei" w:eastAsia="Microsoft JhengHei" w:hAnsi="Microsoft JhengHei" w:cs="Microsoft JhengHei" w:hint="eastAsia"/>
        </w:rPr>
        <w:instrText>访记录</w:instrText>
      </w:r>
      <w:r>
        <w:rPr>
          <w:rFonts w:ascii="MS Gothic" w:eastAsia="MS Gothic" w:hAnsi="MS Gothic" w:cs="MS Gothic" w:hint="eastAsia"/>
        </w:rPr>
        <w:instrText>，</w:instrText>
      </w:r>
      <w:r>
        <w:rPr>
          <w:rFonts w:ascii="Yu Gothic" w:eastAsia="Yu Gothic" w:hAnsi="Yu Gothic" w:cs="Yu Gothic" w:hint="eastAsia"/>
        </w:rPr>
        <w:instrText>强</w:instrText>
      </w:r>
      <w:r>
        <w:rPr>
          <w:rFonts w:ascii="Microsoft JhengHei" w:eastAsia="Microsoft JhengHei" w:hAnsi="Microsoft JhengHei" w:cs="Microsoft JhengHei" w:hint="eastAsia"/>
        </w:rPr>
        <w:instrText>调</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w:instrText>
      </w:r>
      <w:r>
        <w:rPr>
          <w:rFonts w:ascii="MS Gothic" w:eastAsia="MS Gothic" w:hAnsi="MS Gothic" w:cs="MS Gothic" w:hint="eastAsia"/>
        </w:rPr>
        <w:instrText>困的生活影响。我</w:instrText>
      </w:r>
      <w:r>
        <w:rPr>
          <w:rFonts w:ascii="Microsoft JhengHei" w:eastAsia="Microsoft JhengHei" w:hAnsi="Microsoft JhengHei" w:cs="Microsoft JhengHei" w:hint="eastAsia"/>
        </w:rPr>
        <w:instrText>们</w:instrText>
      </w:r>
      <w:r>
        <w:rPr>
          <w:rFonts w:ascii="MS Gothic" w:eastAsia="MS Gothic" w:hAnsi="MS Gothic" w:cs="MS Gothic" w:hint="eastAsia"/>
        </w:rPr>
        <w:instrText>建</w:instrText>
      </w:r>
      <w:r>
        <w:rPr>
          <w:rFonts w:ascii="Microsoft JhengHei" w:eastAsia="Microsoft JhengHei" w:hAnsi="Microsoft JhengHei" w:cs="Microsoft JhengHei" w:hint="eastAsia"/>
        </w:rPr>
        <w:instrText>议</w:instrText>
      </w:r>
      <w:r>
        <w:rPr>
          <w:rFonts w:ascii="MS Gothic" w:eastAsia="MS Gothic" w:hAnsi="MS Gothic" w:cs="MS Gothic" w:hint="eastAsia"/>
        </w:rPr>
        <w:instrText>，能源</w:instrText>
      </w:r>
      <w:r>
        <w:rPr>
          <w:rFonts w:ascii="Microsoft JhengHei" w:eastAsia="Microsoft JhengHei" w:hAnsi="Microsoft JhengHei" w:cs="Microsoft JhengHei" w:hint="eastAsia"/>
        </w:rPr>
        <w:instrText>贫穷</w:instrText>
      </w:r>
      <w:r>
        <w:rPr>
          <w:rFonts w:ascii="MS Gothic" w:eastAsia="MS Gothic" w:hAnsi="MS Gothic" w:cs="MS Gothic" w:hint="eastAsia"/>
        </w:rPr>
        <w:instrText>的挑</w:instrText>
      </w:r>
      <w:r>
        <w:rPr>
          <w:rFonts w:ascii="Microsoft JhengHei" w:eastAsia="Microsoft JhengHei" w:hAnsi="Microsoft JhengHei" w:cs="Microsoft JhengHei" w:hint="eastAsia"/>
        </w:rPr>
        <w:instrText>战</w:instrText>
      </w:r>
      <w:r>
        <w:rPr>
          <w:rFonts w:ascii="MS Gothic" w:eastAsia="MS Gothic" w:hAnsi="MS Gothic" w:cs="MS Gothic" w:hint="eastAsia"/>
        </w:rPr>
        <w:instrText>，</w:instrText>
      </w:r>
      <w:r>
        <w:rPr>
          <w:rFonts w:ascii="Microsoft JhengHei" w:eastAsia="Microsoft JhengHei" w:hAnsi="Microsoft JhengHei" w:cs="Microsoft JhengHei" w:hint="eastAsia"/>
        </w:rPr>
        <w:instrText>应该</w:instrText>
      </w:r>
      <w:r>
        <w:rPr>
          <w:rFonts w:ascii="MS Gothic" w:eastAsia="MS Gothic" w:hAnsi="MS Gothic" w:cs="MS Gothic" w:hint="eastAsia"/>
        </w:rPr>
        <w:instrText>在公共政策中，和作</w:instrText>
      </w:r>
      <w:r>
        <w:rPr>
          <w:rFonts w:ascii="Microsoft JhengHei" w:eastAsia="Microsoft JhengHei" w:hAnsi="Microsoft JhengHei" w:cs="Microsoft JhengHei" w:hint="eastAsia"/>
        </w:rPr>
        <w:instrText>为</w:instrText>
      </w:r>
      <w:r>
        <w:rPr>
          <w:rFonts w:ascii="MS Gothic" w:eastAsia="MS Gothic" w:hAnsi="MS Gothic" w:cs="MS Gothic" w:hint="eastAsia"/>
        </w:rPr>
        <w:instrText>福利和关</w:instrText>
      </w:r>
      <w:r>
        <w:rPr>
          <w:rFonts w:ascii="Microsoft JhengHei" w:eastAsia="Microsoft JhengHei" w:hAnsi="Microsoft JhengHei" w:cs="Microsoft JhengHei" w:hint="eastAsia"/>
        </w:rPr>
        <w:instrText>怀</w:instrText>
      </w:r>
      <w:r>
        <w:rPr>
          <w:rFonts w:ascii="MS Gothic" w:eastAsia="MS Gothic" w:hAnsi="MS Gothic" w:cs="MS Gothic" w:hint="eastAsia"/>
        </w:rPr>
        <w:instrText>的更广泛的理解的一部分，得到更多的关注。</w:instrText>
      </w:r>
      <w:r>
        <w:instrText xml:space="preserve"> Las actuales discusiones sobre política energética rara vez reconocen el problema de la pobreza de energía, una situación en la que un hogar no puede solventar el costo para calentar o enfriar adecuadamente la casa. En este artículo examinamos el concepto de pobreza de energía y describimos algunos de sus contornos en la parte rural de Carolina del Norte. Sugerimos que la pobreza de energía se puede ver mejor como un ensamble de materialidades en red y relaciones socio-económicas. Para ilustrar este enfoque, nos concentramos en los patrones geográficos de tres determinantes claves de la pobreza de energía en la parte oriental de Carolina del Norte: las características socio-económicas de los hogares rurales, las infraestructuras en red para el suministro de energía y las condiciones materiales de la casa. En todo esto, destacamos los efectos vividos en situación de pobreza de energía, a partir de las transcripciones de entrevistas administradas entre quienes reciben ayudas de climatización en la región. Sugerimos que los retos de los pobres en energía merecen mayor atención de la política pública, como parte de un más amplio entendimiento del bienestar y cuidado social.","container-title":"Annals of the Association of American Geographers","ISSN":"0004-5608","issue":"4","note":"publisher: Taylor &amp; Francis, Ltd.","page":"949-961","source":"JSTOR","title":"\"Because You Got to Have Heat\": The Networked Assemblage of Energy Poverty in Eastern North Carolina","title-short":"Because You Got to Have Heat","URL":"https://www.jstor.org/stable/27980241","volume":"101","author":[{"family":"Harrison","given":"Conor"},{"family":"Popke","given":"Jeff"}],"accessed":{"date-parts":[["2023",11,23]]},"issued":{"date-parts":[["2011"]]}}}],"schema":"https://github.com/citation-style-language/schema/raw/master/csl-citation.json"} </w:instrText>
      </w:r>
      <w:r>
        <w:fldChar w:fldCharType="separate"/>
      </w:r>
      <w:r>
        <w:rPr>
          <w:noProof/>
        </w:rPr>
        <w:t>(Harrison and Popke 2011)</w:t>
      </w:r>
      <w:r>
        <w:fldChar w:fldCharType="end"/>
      </w:r>
      <w:r>
        <w:t xml:space="preserve">, an issue common in even newer mobile homes </w:t>
      </w:r>
      <w:r>
        <w:fldChar w:fldCharType="begin"/>
      </w:r>
      <w:r>
        <w:instrText xml:space="preserve"> ADDIN ZOTERO_ITEM CSL_CITATION {"citationID":"53UKeptf","properties":{"formattedCitation":"(Hart et al. 2002)","plainCitation":"(Hart et al. 2002)","noteIndex":0},"citationItems":[{"id":1691,"uris":["http://zotero.org/users/4259226/items/D3GS7KPU"],"itemData":{"id":1691,"type":"book","abstract":"An in-depth look at the history and culture of mobile homes in the United States. In American popular imagination, the mobile home evokes images of cramped interiors, cheap materials, and occupants too poor or unsavory to live anywhere else. Since the 1940s and '50s, however, mobile home manufacturers have improved standards of construction and now present them as an affordable alternative to conventional site-built homes. Today one of every fourteen Americans lives in a mobile home. In The Unknown World of the Mobile Home authors John Fraser Hart, Michelle J. Rhodes, and John T. Morgan illuminate the history and culture of these often misunderstood domiciles. They describe early mobile homes, which were trailers designed to be pulled behind automobiles and which were more often than not poorly constructed and unequal to the needs of those who used them. During the 1970s, however, Congress enacted federal standards for the quality and safety of mobile homes, which led to innovation in design and the production of much more attractive and durable models. These models now comply with local building codes and many are designed to look like conventional houses. As a result, one out every five new single-family housing units purchased in the United States is a mobile home, sited everywhere from the conventional trailer park to custom-designed \"estates\" aimed at young couples and retirees. Despite all these changes in manufacture and design, even the most immobile mobile homes are still sold, financed, regulated, and taxed as vehicles. With a wealth of detail and illustrations, The Unknown World of the Mobile Home provides readers with an in-depth look into this variation on the American dream. \"A clear, concise, and innovative look at the history, the economics, and the politics of the mobile home. The authors reveal the inner workings of mobile home living by drawing upon a wide variety of sources, from industry data to interviews conducted at mobile home parks across the country. Further, they explore new types of mobile home communities--those assembled for workers at meat-processing centers in southwest Kansas, for example--that complicate the familiar image of the mobile home park as retirement village. The ideas presented in this book provide a solid starting point for many detailed studies on this important topic.\" --Karl Raitz, University of Kentucky, author of The National Road","event-place":"Baltimore, UNITED STATES","ISBN":"978-0-8018-7583-0","publisher":"Johns Hopkins University Press","publisher-place":"Baltimore, UNITED STATES","source":"ProQuest Ebook Central","title":"The Unknown World of the Mobile Home","URL":"http://ebookcentral.proquest.com/lib/berkeley-ebooks/detail.action?docID=3318195","author":[{"family":"Hart","given":"John Fraser"},{"family":"Rhodes","given":"Michelle J."},{"family":"Morgan","given":"John T."},{"family":"Morgan","given":"John T."}],"accessed":{"date-parts":[["2023",11,23]]},"issued":{"date-parts":[["2002"]]}}}],"schema":"https://github.com/citation-style-language/schema/raw/master/csl-citation.json"} </w:instrText>
      </w:r>
      <w:r>
        <w:fldChar w:fldCharType="separate"/>
      </w:r>
      <w:r>
        <w:rPr>
          <w:noProof/>
        </w:rPr>
        <w:t>(Hart et al. 2002)</w:t>
      </w:r>
      <w:r>
        <w:fldChar w:fldCharType="end"/>
      </w:r>
      <w:r>
        <w:t xml:space="preserve">. </w:t>
      </w:r>
    </w:p>
    <w:p w14:paraId="5A971472" w14:textId="16B9CDED" w:rsidR="00ED50F0" w:rsidRDefault="00ED50F0" w:rsidP="00ED50F0">
      <w:pPr>
        <w:pStyle w:val="Heading3List"/>
      </w:pPr>
      <w:r>
        <w:t>Building</w:t>
      </w:r>
      <w:r w:rsidR="004960B2">
        <w:t>s:</w:t>
      </w:r>
      <w:r>
        <w:t xml:space="preserve"> envelope</w:t>
      </w:r>
    </w:p>
    <w:p w14:paraId="70F82DC8" w14:textId="7D4668C6" w:rsidR="00ED50F0" w:rsidRDefault="00ED50F0" w:rsidP="00ED50F0">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w:t>
      </w:r>
      <w:proofErr w:type="spellStart"/>
      <w:r w:rsidRPr="00543F50">
        <w:t>Mavrogianni</w:t>
      </w:r>
      <w:proofErr w:type="spellEnd"/>
      <w:r w:rsidRPr="00543F50">
        <w:t xml:space="preserve"> et al. 2012; Porritt et al. 2012)</w:t>
      </w:r>
      <w:r>
        <w:fldChar w:fldCharType="end"/>
      </w:r>
      <w:r>
        <w:t xml:space="preserve">. Porritt et al. </w:t>
      </w:r>
      <w:r>
        <w:fldChar w:fldCharType="begin"/>
      </w:r>
      <w:r>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One HVI considered houses with thermally massive materials to have greater adaptive capacity </w:t>
      </w:r>
      <w:r>
        <w:fldChar w:fldCharType="begin"/>
      </w:r>
      <w:r>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fldChar w:fldCharType="separate"/>
      </w:r>
      <w:r w:rsidRPr="004F65CD">
        <w:t>(</w:t>
      </w:r>
      <w:proofErr w:type="spellStart"/>
      <w:r w:rsidRPr="004F65CD">
        <w:t>Inostroza</w:t>
      </w:r>
      <w:proofErr w:type="spellEnd"/>
      <w:r w:rsidRPr="004F65CD">
        <w:t>, Palme, and de la Barrera 2016)</w:t>
      </w:r>
      <w:r>
        <w:fldChar w:fldCharType="end"/>
      </w:r>
      <w:r>
        <w:t>. Thermal mass describes building materials with high heat capacity, such as brick, stone, and concrete, which can buffer temperature fluctuations.</w:t>
      </w:r>
      <w:r w:rsidR="004960B2">
        <w:t xml:space="preserve"> For this strategy to work, the material must be exposed to both the interior and exterior i.e. limited insulation. </w:t>
      </w:r>
      <w:r>
        <w:t xml:space="preserve"> </w:t>
      </w:r>
    </w:p>
    <w:p w14:paraId="7C013FB9" w14:textId="3FC23BBC" w:rsidR="00ED50F0" w:rsidRDefault="00ED50F0" w:rsidP="00ED50F0">
      <w:pPr>
        <w:pStyle w:val="Heading3List"/>
      </w:pPr>
      <w:r>
        <w:t>Building</w:t>
      </w:r>
      <w:r w:rsidR="004960B2">
        <w:t>s:</w:t>
      </w:r>
      <w:r>
        <w:t xml:space="preserve"> HVAC</w:t>
      </w:r>
    </w:p>
    <w:p w14:paraId="432CF06C" w14:textId="6A3833D7" w:rsidR="001076D9" w:rsidRDefault="00ED50F0" w:rsidP="001076D9">
      <w:r>
        <w:t xml:space="preserve">Building HVAC characteristics describe the presence </w:t>
      </w:r>
      <w:r>
        <w:fldChar w:fldCharType="begin"/>
      </w:r>
      <w:r>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w:t>
      </w:r>
      <w:proofErr w:type="spellStart"/>
      <w:r w:rsidRPr="000B41BF">
        <w:t>Curriero</w:t>
      </w:r>
      <w:proofErr w:type="spellEnd"/>
      <w:r w:rsidRPr="000B41BF">
        <w:t xml:space="preserve"> et al. 2002)</w:t>
      </w:r>
      <w:r>
        <w:fldChar w:fldCharType="end"/>
      </w:r>
      <w:r>
        <w:t xml:space="preserve">, type </w:t>
      </w:r>
      <w:r>
        <w:fldChar w:fldCharType="begin"/>
      </w:r>
      <w:r>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 xml:space="preserve">(O’Neill, </w:t>
      </w:r>
      <w:proofErr w:type="spellStart"/>
      <w:r w:rsidRPr="00D277FA">
        <w:rPr>
          <w:rFonts w:cs="Times New Roman"/>
          <w:szCs w:val="24"/>
        </w:rPr>
        <w:t>Zanobetti</w:t>
      </w:r>
      <w:proofErr w:type="spellEnd"/>
      <w:r w:rsidRPr="00D277FA">
        <w:rPr>
          <w:rFonts w:cs="Times New Roman"/>
          <w:szCs w:val="24"/>
        </w:rPr>
        <w:t>, and Schwartz 2005)</w:t>
      </w:r>
      <w:r>
        <w:fldChar w:fldCharType="end"/>
      </w:r>
      <w:r>
        <w:t xml:space="preserve">, and functionality </w:t>
      </w:r>
      <w:r>
        <w:fldChar w:fldCharType="begin"/>
      </w:r>
      <w:r>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50°C and 10% relative humidity </w:t>
      </w:r>
      <w:r>
        <w:fldChar w:fldCharType="begin"/>
      </w:r>
      <w:r>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Finally, we also consider availability of alternate power sources such as a back-up generator or on-site solar panels as they may reduce interruptions to HVAC systems</w:t>
      </w:r>
      <w:r w:rsidR="001076D9">
        <w:t>.</w:t>
      </w:r>
    </w:p>
    <w:p w14:paraId="5797D661" w14:textId="1E5F1E15" w:rsidR="002023F5" w:rsidRDefault="008D0432" w:rsidP="00EE070C">
      <w:pPr>
        <w:pStyle w:val="Heading2List"/>
      </w:pPr>
      <w:bookmarkStart w:id="5" w:name="_Ref151994837"/>
      <w:bookmarkEnd w:id="3"/>
      <w:bookmarkEnd w:id="4"/>
      <w:r>
        <w:t>Machine learning</w:t>
      </w:r>
      <w:bookmarkEnd w:id="5"/>
    </w:p>
    <w:p w14:paraId="10B093CE" w14:textId="058488A5" w:rsidR="001076D9" w:rsidRDefault="00523EC3" w:rsidP="00523EC3">
      <w:r>
        <w:t>We used machine learning to predict the occurrence of a temperature-related morbidity event, which we treated as a binary classification problem</w:t>
      </w:r>
      <w:r w:rsidR="009F6370">
        <w:t xml:space="preserve"> since the RECS survey is coded as a yes or no response</w:t>
      </w:r>
      <w:r>
        <w:t>. The input features for the machine learning model are the</w:t>
      </w:r>
      <w:r w:rsidR="004960B2">
        <w:t xml:space="preserve"> variables</w:t>
      </w:r>
      <w:r>
        <w:t xml:space="preserve"> described in </w:t>
      </w:r>
      <w:r>
        <w:fldChar w:fldCharType="begin"/>
      </w:r>
      <w:r>
        <w:instrText xml:space="preserve"> REF _Ref151582921 \h </w:instrText>
      </w:r>
      <w:r>
        <w:fldChar w:fldCharType="separate"/>
      </w:r>
      <w:r>
        <w:t xml:space="preserve">Table </w:t>
      </w:r>
      <w:r>
        <w:rPr>
          <w:noProof/>
        </w:rPr>
        <w:t>2</w:t>
      </w:r>
      <w:r>
        <w:fldChar w:fldCharType="end"/>
      </w:r>
      <w:r>
        <w:t xml:space="preserve">. </w:t>
      </w:r>
      <w:r w:rsidR="004960B2">
        <w:t xml:space="preserve">We focus on comparing the performance of models trained with and without building characteristics. </w:t>
      </w:r>
    </w:p>
    <w:p w14:paraId="4D3B5978" w14:textId="5CDD807F" w:rsidR="00523EC3" w:rsidRDefault="00523EC3" w:rsidP="00523EC3">
      <w:r>
        <w:lastRenderedPageBreak/>
        <w:t xml:space="preserve">We know from </w:t>
      </w:r>
      <w:r>
        <w:fldChar w:fldCharType="begin"/>
      </w:r>
      <w:r>
        <w:instrText xml:space="preserve"> REF _Ref80686156 \h </w:instrText>
      </w:r>
      <w:r>
        <w:fldChar w:fldCharType="separate"/>
      </w:r>
      <w:r>
        <w:t xml:space="preserve">Table </w:t>
      </w:r>
      <w:r>
        <w:rPr>
          <w:noProof/>
        </w:rPr>
        <w:t>1</w:t>
      </w:r>
      <w:r>
        <w:fldChar w:fldCharType="end"/>
      </w:r>
      <w:r>
        <w:t xml:space="preserve"> that there is an extreme imbalanc</w:t>
      </w:r>
      <w:r w:rsidR="00313C42">
        <w:t>e in the RECS data</w:t>
      </w:r>
      <w:r w:rsidR="00FD133A">
        <w:t xml:space="preserve"> </w:t>
      </w:r>
      <w:r w:rsidR="009F6370">
        <w:t>–</w:t>
      </w:r>
      <w:r w:rsidR="00FD133A">
        <w:t xml:space="preserve"> </w:t>
      </w:r>
      <w:r w:rsidR="009F6370">
        <w:t>less than 1% of all households experienced temperature-related morbidity</w:t>
      </w:r>
      <w:r>
        <w:t xml:space="preserve">. </w:t>
      </w:r>
      <w:r w:rsidR="00313C42">
        <w:t>This</w:t>
      </w:r>
      <w:r w:rsidR="00FD133A">
        <w:t xml:space="preserve"> imbalance is problematic because a naïve model that always predicts </w:t>
      </w:r>
      <w:r w:rsidR="00313C42">
        <w:t>the majority class,</w:t>
      </w:r>
      <w:r w:rsidR="009F6370">
        <w:t xml:space="preserve"> i.e.</w:t>
      </w:r>
      <w:r w:rsidR="00313C42">
        <w:t xml:space="preserve"> no temperature-related morbidity,</w:t>
      </w:r>
      <w:r w:rsidR="00FD133A">
        <w:t xml:space="preserve"> will have a high accuracy, 99% in this case, but </w:t>
      </w:r>
      <w:r w:rsidR="004D258B">
        <w:t>will fail to predict any observations in the min</w:t>
      </w:r>
      <w:r w:rsidR="00313C42">
        <w:t>ority class,</w:t>
      </w:r>
      <w:r w:rsidR="004960B2">
        <w:t xml:space="preserve"> i.e.</w:t>
      </w:r>
      <w:r w:rsidR="009F6370">
        <w:t xml:space="preserve"> </w:t>
      </w:r>
      <w:r w:rsidR="00313C42">
        <w:t>occurrence of temperature-related morbidity</w:t>
      </w:r>
      <w:r w:rsidR="00FD133A">
        <w:t xml:space="preserve">.  </w:t>
      </w:r>
      <w:r w:rsidR="00FD133A">
        <w:t>Imbalanced data is</w:t>
      </w:r>
      <w:r w:rsidR="00313C42">
        <w:t xml:space="preserve"> </w:t>
      </w:r>
      <w:r w:rsidR="009F6370">
        <w:t xml:space="preserve">a common issue </w:t>
      </w:r>
      <w:r w:rsidR="005010F8">
        <w:t xml:space="preserve">in </w:t>
      </w:r>
      <w:r w:rsidR="00FD133A">
        <w:t>other domains such as disease diagnosis, customer churn prediction, and fraud detection</w:t>
      </w:r>
      <w:r w:rsidR="00FD133A">
        <w:t>. As in our case, imbalanced data problems generally have a high cost associated with failure to predict the minority class.</w:t>
      </w:r>
      <w:r w:rsidR="00313C42">
        <w:t xml:space="preserve"> </w:t>
      </w:r>
      <w:r w:rsidR="009F6370">
        <w:t>We employ several techniques in the machine learning model building process to address the imbalanced data</w:t>
      </w:r>
      <w:r w:rsidR="002236F4">
        <w:t xml:space="preserve"> </w:t>
      </w:r>
      <w:r w:rsidR="00C41E03">
        <w:fldChar w:fldCharType="begin"/>
      </w:r>
      <w:r w:rsidR="00C41E03">
        <w:instrText xml:space="preserve"> ADDIN ZOTERO_ITEM CSL_CITATION {"citationID":"a3Bi0K7p","properties":{"formattedCitation":"(He and Garcia 2009; Kaur, Pannu, and Malhi 2019; Krawczyk 2016)","plainCitation":"(He and Garcia 2009; Kaur, Pannu, and Malhi 2019; Krawczyk 2016)","noteIndex":0},"citationItems":[{"id":1695,"uris":["http://zotero.org/users/4259226/items/H4P4QYNV"],"itemData":{"id":1695,"type":"article-journal","abstract":"With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Engineering","DOI":"10.1109/TKDE.2008.239","ISSN":"1558-2191","issue":"9","note":"event-title: IEEE Transactions on Knowledge and Data Engineering","page":"1263-1284","source":"IEEE Xplore","title":"Learning from Imbalanced Data","URL":"https://ieeexplore.ieee.org/abstract/document/5128907/authors#authors","volume":"21","author":[{"family":"He","given":"Haibo"},{"family":"Garcia","given":"Edwardo A."}],"accessed":{"date-parts":[["2023",11,23]]},"issued":{"date-parts":[["2009",9]]}}},{"id":1693,"uris":["http://zotero.org/users/4259226/items/RJENFI82"],"itemData":{"id":1693,"type":"article-journal","abstract":"In machine learning, the data imbalance imposes challenges to perform data analytics in almost all areas of real-world research. The raw primary data often suffers from the skewed perspective of data distribution of one class over the other as in the case of computer vision, information security, marketing, and medical science. The goal of this article is to present a comparative analysis of the approaches from the reference of data pre-processing, algorithmic and hybrid paradigms for contemporary imbalance data analysis techniques, and their comparative study in lieu of different data distribution and their application areas.","container-title":"ACM Computing Surveys","DOI":"10.1145/3343440","ISSN":"0360-0300","issue":"4","journalAbbreviation":"ACM Comput. Surv.","page":"79:1–79:36","source":"ACM Digital Library","title":"A Systematic Review on Imbalanced Data Challenges in Machine Learning: Applications and Solutions","title-short":"A Systematic Review on Imbalanced Data Challenges in Machine Learning","URL":"https://dl.acm.org/doi/10.1145/3343440","volume":"52","author":[{"family":"Kaur","given":"Harsurinder"},{"family":"Pannu","given":"Husanbir Singh"},{"family":"Malhi","given":"Avleen Kaur"}],"accessed":{"date-parts":[["2023",11,23]]},"issued":{"date-parts":[["2019",8,30]]}}},{"id":1697,"uris":["http://zotero.org/users/4259226/items/CIYCY25U"],"itemData":{"id":1697,"type":"article-journal","abstract":"Despite more than two decades of continuous development learning from imbalanced data is still a focus of intense research. Starting as a problem of skewed distributions of binary tasks, this topic evolved way beyond this conception. With the expansion of machine learning and data mining, combined with the arrival of big data era, we have gained a deeper insight into the nature of imbalanced learning, while at the same time facing new emerging challenges. Data-level and algorithm-level methods are constantly being improved and hybrid approaches gain increasing popularity. Recent trends focus on analyzing not only the disproportion between classes, but also other difficulties embedded in the nature of data. New real-life problems motivate researchers to focus on computationally efficient, adaptive and real-time methods. This paper aims at discussing open issues and challenges that need to be addressed to further develop the field of imbalanced learning. Seven vital areas of research in this topic are identified, covering the full spectrum of learning from imbalanced data: classification, regression, clustering, data streams, big data analytics and applications, e.g., in social media and computer vision. This paper provides a discussion and suggestions concerning lines of future research for each of them.","container-title":"Progress in Artificial Intelligence","DOI":"10.1007/s13748-016-0094-0","ISSN":"2192-6360","issue":"4","journalAbbreviation":"Prog Artif Intell","language":"en","page":"221-232","source":"Springer Link","title":"Learning from imbalanced data: open challenges and future directions","title-short":"Learning from imbalanced data","URL":"https://doi.org/10.1007/s13748-016-0094-0","volume":"5","author":[{"family":"Krawczyk","given":"Bartosz"}],"accessed":{"date-parts":[["2023",11,23]]},"issued":{"date-parts":[["2016",11,1]]}}}],"schema":"https://github.com/citation-style-language/schema/raw/master/csl-citation.json"} </w:instrText>
      </w:r>
      <w:r w:rsidR="00C41E03">
        <w:fldChar w:fldCharType="separate"/>
      </w:r>
      <w:r w:rsidR="00C41E03">
        <w:rPr>
          <w:noProof/>
        </w:rPr>
        <w:t>(He and Garcia 2009; Kaur, Pannu, and Malhi 2019; Krawczyk 2016)</w:t>
      </w:r>
      <w:r w:rsidR="00C41E03">
        <w:fldChar w:fldCharType="end"/>
      </w:r>
      <w:r w:rsidR="009F6370">
        <w:t xml:space="preserve">. </w:t>
      </w:r>
    </w:p>
    <w:p w14:paraId="572E88DE" w14:textId="3D801D67" w:rsidR="001076D9" w:rsidRDefault="001076D9" w:rsidP="001076D9">
      <w:pPr>
        <w:spacing w:before="240"/>
      </w:pPr>
      <w:r>
        <w:t>We first pre-processed the data set to remove</w:t>
      </w:r>
      <w:r>
        <w:t xml:space="preserve"> variables with </w:t>
      </w:r>
      <w:r>
        <w:t xml:space="preserve">zero or near-zero </w:t>
      </w:r>
      <w:r w:rsidR="004960B2">
        <w:t>variance</w:t>
      </w:r>
      <w:r>
        <w:t xml:space="preserve">. These variables can negatively impact model performance as </w:t>
      </w:r>
      <w:r w:rsidR="00A732F9">
        <w:t>they may become zero variance</w:t>
      </w:r>
      <w:r>
        <w:t xml:space="preserve"> </w:t>
      </w:r>
      <w:r w:rsidR="00987E42">
        <w:t>after the data is subdivided</w:t>
      </w:r>
      <w:r>
        <w:t>. This step removed the variable for large households and pays utility and/or fuel. We also checked for highly correlated variables</w:t>
      </w:r>
      <w:r w:rsidR="004960B2">
        <w:t xml:space="preserve"> (magnitude of Spearman’s correlation coefficient &gt; 0.75)</w:t>
      </w:r>
      <w:r>
        <w:t xml:space="preserve"> and linear combinations, but no variable met the threshold for removal. We then</w:t>
      </w:r>
      <w:r>
        <w:t xml:space="preserve"> standardized input variables to have zero mean and unit variance. </w:t>
      </w:r>
      <w:r w:rsidR="008F31B5">
        <w:t xml:space="preserve">This step prevents variables with larger numerical quantities from having undue influence, particularly in regression-based modeling methods. </w:t>
      </w:r>
    </w:p>
    <w:p w14:paraId="5D0829C6" w14:textId="1AD95DC1" w:rsidR="001076D9" w:rsidRDefault="008019A8" w:rsidP="00523EC3">
      <w:r>
        <w:t>W</w:t>
      </w:r>
      <w:r w:rsidR="009F6370">
        <w:t xml:space="preserve">e </w:t>
      </w:r>
      <w:r w:rsidR="001076D9">
        <w:t xml:space="preserve">then </w:t>
      </w:r>
      <w:r w:rsidR="009F6370">
        <w:t>split the RECS dataset into training and test data, using 80% for training and holding 20% for testing</w:t>
      </w:r>
      <w:r>
        <w:t>, which prevents overfitting</w:t>
      </w:r>
      <w:r w:rsidR="009F6370">
        <w:t>.</w:t>
      </w:r>
      <w:r w:rsidR="009F6370">
        <w:t xml:space="preserve"> </w:t>
      </w:r>
      <w:r w:rsidR="00D34EA6">
        <w:t>We bootstrapped</w:t>
      </w:r>
      <w:r w:rsidR="00D46F7C">
        <w:t xml:space="preserve"> </w:t>
      </w:r>
      <w:r w:rsidR="00D34EA6">
        <w:t xml:space="preserve">this process </w:t>
      </w:r>
      <w:r w:rsidR="00D46F7C">
        <w:t xml:space="preserve">with </w:t>
      </w:r>
      <w:r w:rsidR="00A732F9">
        <w:t>30</w:t>
      </w:r>
      <w:r w:rsidR="00D46F7C">
        <w:t xml:space="preserve"> iterations </w:t>
      </w:r>
      <w:r w:rsidR="00D34EA6">
        <w:t xml:space="preserve">to quantify the </w:t>
      </w:r>
      <w:r w:rsidR="00A732F9">
        <w:t>uncertainty in</w:t>
      </w:r>
      <w:r>
        <w:t xml:space="preserve"> model performance</w:t>
      </w:r>
      <w:r w:rsidR="00A732F9">
        <w:t xml:space="preserve"> due</w:t>
      </w:r>
      <w:r>
        <w:t xml:space="preserve"> to the training data split</w:t>
      </w:r>
      <w:r w:rsidR="00D34EA6">
        <w:t>. For each training and test split, w</w:t>
      </w:r>
      <w:r w:rsidR="009F6370">
        <w:t xml:space="preserve">e then used 5-fold cross validation repeated </w:t>
      </w:r>
      <w:r w:rsidR="009F6370">
        <w:t>5</w:t>
      </w:r>
      <w:r w:rsidR="009F6370">
        <w:t xml:space="preserve"> times to further split the training data into training and validation sets </w:t>
      </w:r>
      <w:r w:rsidR="00D34EA6">
        <w:t>for selecting</w:t>
      </w:r>
      <w:r w:rsidR="009F6370">
        <w:t xml:space="preserve"> </w:t>
      </w:r>
      <w:r>
        <w:t xml:space="preserve">machine learning </w:t>
      </w:r>
      <w:r w:rsidR="009F6370">
        <w:t xml:space="preserve">model hyperparameters. </w:t>
      </w:r>
    </w:p>
    <w:p w14:paraId="339984E6" w14:textId="32A4E1B8" w:rsidR="00465584" w:rsidRDefault="00C41E03" w:rsidP="00523EC3">
      <w:r>
        <w:t xml:space="preserve">We compared performance from several machine learning algorithms, listed in </w:t>
      </w:r>
      <w:r>
        <w:fldChar w:fldCharType="begin"/>
      </w:r>
      <w:r>
        <w:instrText xml:space="preserve"> REF _Ref151653801 \h </w:instrText>
      </w:r>
      <w:r>
        <w:fldChar w:fldCharType="separate"/>
      </w:r>
      <w:r>
        <w:t xml:space="preserve">Table </w:t>
      </w:r>
      <w:r>
        <w:rPr>
          <w:noProof/>
        </w:rPr>
        <w:t>3</w:t>
      </w:r>
      <w:r>
        <w:fldChar w:fldCharType="end"/>
      </w:r>
      <w:r w:rsidR="00490E0F">
        <w:t xml:space="preserve">. </w:t>
      </w:r>
      <w:r w:rsidR="00490E0F">
        <w:t>These algorithms vary in their underlying structure and assumptions about input features.</w:t>
      </w:r>
      <w:r w:rsidR="00490E0F">
        <w:t xml:space="preserve">  We selected these algorithms because of their ability to accept c</w:t>
      </w:r>
      <w:r w:rsidR="004D224D">
        <w:t>lass</w:t>
      </w:r>
      <w:r w:rsidR="00490E0F">
        <w:t xml:space="preserve"> weights</w:t>
      </w:r>
      <w:r w:rsidR="006E4BA2">
        <w:t xml:space="preserve"> and </w:t>
      </w:r>
      <w:r w:rsidR="00860688">
        <w:t>availability in the R caret library</w:t>
      </w:r>
      <w:r w:rsidR="00490E0F">
        <w:t xml:space="preserve">. </w:t>
      </w:r>
      <w:r w:rsidR="004D224D">
        <w:t xml:space="preserve">We applied an exhaustive grid search </w:t>
      </w:r>
      <w:r w:rsidR="00BF1C71">
        <w:t xml:space="preserve">of 100 values </w:t>
      </w:r>
      <w:r w:rsidR="004D224D">
        <w:t>to find the best performing hyperparameter settings for each machine learning algorithm.</w:t>
      </w:r>
      <w:r w:rsidR="00860688">
        <w:t xml:space="preserve"> </w:t>
      </w:r>
    </w:p>
    <w:p w14:paraId="08DE8485" w14:textId="77777777" w:rsidR="005C0AEB" w:rsidRDefault="005C0AEB" w:rsidP="005C0AEB">
      <w:pPr>
        <w:pStyle w:val="Figurecaption"/>
      </w:pPr>
      <w:bookmarkStart w:id="6" w:name="_Ref151653801"/>
      <w:r>
        <w:t xml:space="preserve">Table </w:t>
      </w:r>
      <w:r>
        <w:fldChar w:fldCharType="begin"/>
      </w:r>
      <w:r>
        <w:instrText xml:space="preserve"> SEQ Table \* ARABIC </w:instrText>
      </w:r>
      <w:r>
        <w:fldChar w:fldCharType="separate"/>
      </w:r>
      <w:r>
        <w:rPr>
          <w:noProof/>
        </w:rPr>
        <w:t>3</w:t>
      </w:r>
      <w:r>
        <w:fldChar w:fldCharType="end"/>
      </w:r>
      <w:bookmarkEnd w:id="6"/>
      <w:r>
        <w:t xml:space="preserve">. Summary of machine learning algorithms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87"/>
        <w:gridCol w:w="3851"/>
      </w:tblGrid>
      <w:tr w:rsidR="00274FDF" w:rsidRPr="00D46F7C" w14:paraId="5FDFA7A5" w14:textId="77777777" w:rsidTr="00274FDF">
        <w:tc>
          <w:tcPr>
            <w:tcW w:w="0" w:type="auto"/>
            <w:tcBorders>
              <w:top w:val="single" w:sz="4" w:space="0" w:color="E7E6E6" w:themeColor="background2"/>
              <w:bottom w:val="single" w:sz="4" w:space="0" w:color="E7E6E6" w:themeColor="background2"/>
            </w:tcBorders>
          </w:tcPr>
          <w:p w14:paraId="5B8E8FF2" w14:textId="77777777" w:rsidR="00274FDF" w:rsidRPr="00D46F7C" w:rsidRDefault="00274FDF" w:rsidP="00B9614A">
            <w:pPr>
              <w:rPr>
                <w:b/>
                <w:bCs/>
                <w:sz w:val="18"/>
                <w:szCs w:val="18"/>
              </w:rPr>
            </w:pPr>
            <w:r>
              <w:rPr>
                <w:b/>
                <w:bCs/>
                <w:sz w:val="18"/>
                <w:szCs w:val="18"/>
              </w:rPr>
              <w:t>Algorithm</w:t>
            </w:r>
          </w:p>
        </w:tc>
        <w:tc>
          <w:tcPr>
            <w:tcW w:w="0" w:type="auto"/>
            <w:tcBorders>
              <w:top w:val="single" w:sz="4" w:space="0" w:color="E7E6E6" w:themeColor="background2"/>
              <w:bottom w:val="single" w:sz="4" w:space="0" w:color="E7E6E6" w:themeColor="background2"/>
            </w:tcBorders>
          </w:tcPr>
          <w:p w14:paraId="1D5FC4CB" w14:textId="77777777" w:rsidR="00274FDF" w:rsidRPr="00D46F7C" w:rsidRDefault="00274FDF" w:rsidP="00B9614A">
            <w:pPr>
              <w:rPr>
                <w:b/>
                <w:bCs/>
                <w:sz w:val="18"/>
                <w:szCs w:val="18"/>
              </w:rPr>
            </w:pPr>
            <w:r w:rsidRPr="00D46F7C">
              <w:rPr>
                <w:b/>
                <w:bCs/>
                <w:sz w:val="18"/>
                <w:szCs w:val="18"/>
              </w:rPr>
              <w:t>Hyperparameters (min, max)</w:t>
            </w:r>
          </w:p>
        </w:tc>
        <w:tc>
          <w:tcPr>
            <w:tcW w:w="0" w:type="auto"/>
            <w:tcBorders>
              <w:top w:val="single" w:sz="4" w:space="0" w:color="E7E6E6" w:themeColor="background2"/>
              <w:bottom w:val="single" w:sz="4" w:space="0" w:color="E7E6E6" w:themeColor="background2"/>
            </w:tcBorders>
          </w:tcPr>
          <w:p w14:paraId="7E0D50BF" w14:textId="77777777" w:rsidR="00274FDF" w:rsidRPr="00D46F7C" w:rsidRDefault="00274FDF" w:rsidP="00B9614A">
            <w:pPr>
              <w:rPr>
                <w:b/>
                <w:bCs/>
                <w:sz w:val="18"/>
                <w:szCs w:val="18"/>
              </w:rPr>
            </w:pPr>
            <w:r w:rsidRPr="00D46F7C">
              <w:rPr>
                <w:b/>
                <w:bCs/>
                <w:sz w:val="18"/>
                <w:szCs w:val="18"/>
              </w:rPr>
              <w:t>R implementation</w:t>
            </w:r>
          </w:p>
        </w:tc>
      </w:tr>
      <w:tr w:rsidR="00274FDF" w:rsidRPr="00D46F7C" w14:paraId="204F8B16" w14:textId="77777777" w:rsidTr="00274FDF">
        <w:tc>
          <w:tcPr>
            <w:tcW w:w="0" w:type="auto"/>
            <w:tcBorders>
              <w:top w:val="single" w:sz="4" w:space="0" w:color="E7E6E6" w:themeColor="background2"/>
            </w:tcBorders>
          </w:tcPr>
          <w:p w14:paraId="222F5350" w14:textId="77777777" w:rsidR="00274FDF" w:rsidRPr="00D46F7C" w:rsidRDefault="00274FDF" w:rsidP="00B9614A">
            <w:pPr>
              <w:rPr>
                <w:sz w:val="18"/>
                <w:szCs w:val="18"/>
              </w:rPr>
            </w:pPr>
            <w:r w:rsidRPr="00D46F7C">
              <w:rPr>
                <w:sz w:val="18"/>
                <w:szCs w:val="18"/>
              </w:rPr>
              <w:t>Generalized linear model</w:t>
            </w:r>
          </w:p>
        </w:tc>
        <w:tc>
          <w:tcPr>
            <w:tcW w:w="0" w:type="auto"/>
            <w:tcBorders>
              <w:top w:val="single" w:sz="4" w:space="0" w:color="E7E6E6" w:themeColor="background2"/>
            </w:tcBorders>
          </w:tcPr>
          <w:p w14:paraId="54DBD5F2" w14:textId="77777777" w:rsidR="00274FDF" w:rsidRPr="00D46F7C" w:rsidRDefault="00274FDF" w:rsidP="00B9614A">
            <w:pPr>
              <w:rPr>
                <w:sz w:val="18"/>
                <w:szCs w:val="18"/>
              </w:rPr>
            </w:pPr>
            <w:r w:rsidRPr="00D46F7C">
              <w:rPr>
                <w:sz w:val="18"/>
                <w:szCs w:val="18"/>
              </w:rPr>
              <w:t>None</w:t>
            </w:r>
          </w:p>
        </w:tc>
        <w:tc>
          <w:tcPr>
            <w:tcW w:w="0" w:type="auto"/>
            <w:tcBorders>
              <w:top w:val="single" w:sz="4" w:space="0" w:color="E7E6E6" w:themeColor="background2"/>
            </w:tcBorders>
          </w:tcPr>
          <w:p w14:paraId="10AB8D11" w14:textId="4018AF9E" w:rsidR="00274FDF" w:rsidRPr="00D46F7C" w:rsidRDefault="00274FDF" w:rsidP="00B9614A">
            <w:pPr>
              <w:rPr>
                <w:sz w:val="18"/>
                <w:szCs w:val="18"/>
              </w:rPr>
            </w:pPr>
            <w:proofErr w:type="spellStart"/>
            <w:r w:rsidRPr="00D46F7C">
              <w:rPr>
                <w:sz w:val="18"/>
                <w:szCs w:val="18"/>
              </w:rPr>
              <w:t>glm</w:t>
            </w:r>
            <w:proofErr w:type="spellEnd"/>
            <w:r>
              <w:rPr>
                <w:sz w:val="18"/>
                <w:szCs w:val="18"/>
              </w:rPr>
              <w:t xml:space="preserve"> </w:t>
            </w:r>
            <w:r>
              <w:rPr>
                <w:sz w:val="18"/>
                <w:szCs w:val="18"/>
              </w:rPr>
              <w:fldChar w:fldCharType="begin"/>
            </w:r>
            <w:r>
              <w:rPr>
                <w:sz w:val="18"/>
                <w:szCs w:val="18"/>
              </w:rPr>
              <w:instrText xml:space="preserve"> ADDIN ZOTERO_ITEM CSL_CITATION {"citationID":"SJhRibnl","properties":{"formattedCitation":"(Kuhn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rPr>
                <w:sz w:val="18"/>
                <w:szCs w:val="18"/>
              </w:rPr>
              <w:fldChar w:fldCharType="separate"/>
            </w:r>
            <w:r>
              <w:rPr>
                <w:noProof/>
                <w:sz w:val="18"/>
                <w:szCs w:val="18"/>
              </w:rPr>
              <w:t>(Kuhn et al. 2023)</w:t>
            </w:r>
            <w:r>
              <w:rPr>
                <w:sz w:val="18"/>
                <w:szCs w:val="18"/>
              </w:rPr>
              <w:fldChar w:fldCharType="end"/>
            </w:r>
            <w:r>
              <w:rPr>
                <w:sz w:val="18"/>
                <w:szCs w:val="18"/>
              </w:rPr>
              <w:t xml:space="preserve"> </w:t>
            </w:r>
          </w:p>
        </w:tc>
      </w:tr>
      <w:tr w:rsidR="00274FDF" w:rsidRPr="00D46F7C" w14:paraId="1E4F96AC" w14:textId="77777777" w:rsidTr="00274FDF">
        <w:tc>
          <w:tcPr>
            <w:tcW w:w="0" w:type="auto"/>
          </w:tcPr>
          <w:p w14:paraId="26979087" w14:textId="77777777" w:rsidR="00274FDF" w:rsidRPr="00D46F7C" w:rsidRDefault="00274FDF" w:rsidP="00B9614A">
            <w:pPr>
              <w:rPr>
                <w:sz w:val="18"/>
                <w:szCs w:val="18"/>
              </w:rPr>
            </w:pPr>
            <w:r w:rsidRPr="00D46F7C">
              <w:rPr>
                <w:sz w:val="18"/>
                <w:szCs w:val="18"/>
              </w:rPr>
              <w:t>Multivariate Adaptive Regression Spline</w:t>
            </w:r>
          </w:p>
        </w:tc>
        <w:tc>
          <w:tcPr>
            <w:tcW w:w="0" w:type="auto"/>
          </w:tcPr>
          <w:p w14:paraId="0CBC3A27" w14:textId="77777777" w:rsidR="00274FDF" w:rsidRDefault="00274FDF" w:rsidP="00B9614A">
            <w:pPr>
              <w:rPr>
                <w:sz w:val="18"/>
                <w:szCs w:val="18"/>
              </w:rPr>
            </w:pPr>
            <w:r>
              <w:rPr>
                <w:sz w:val="18"/>
                <w:szCs w:val="18"/>
              </w:rPr>
              <w:t>#Terms: (1, 100)</w:t>
            </w:r>
          </w:p>
          <w:p w14:paraId="7EF720BD" w14:textId="68E38DB7" w:rsidR="00274FDF" w:rsidRPr="00D46F7C" w:rsidRDefault="00274FDF" w:rsidP="00B9614A">
            <w:pPr>
              <w:rPr>
                <w:sz w:val="18"/>
                <w:szCs w:val="18"/>
              </w:rPr>
            </w:pPr>
            <w:r>
              <w:rPr>
                <w:sz w:val="18"/>
                <w:szCs w:val="18"/>
              </w:rPr>
              <w:t>Product degree: 1</w:t>
            </w:r>
          </w:p>
        </w:tc>
        <w:tc>
          <w:tcPr>
            <w:tcW w:w="0" w:type="auto"/>
          </w:tcPr>
          <w:p w14:paraId="69AFF4CF" w14:textId="0E5CF672" w:rsidR="00274FDF" w:rsidRPr="00D46F7C" w:rsidRDefault="00274FDF" w:rsidP="00B9614A">
            <w:pPr>
              <w:rPr>
                <w:sz w:val="18"/>
                <w:szCs w:val="18"/>
              </w:rPr>
            </w:pPr>
            <w:r w:rsidRPr="00D46F7C">
              <w:rPr>
                <w:sz w:val="18"/>
                <w:szCs w:val="18"/>
              </w:rPr>
              <w:t>earth</w:t>
            </w:r>
            <w:r>
              <w:rPr>
                <w:sz w:val="18"/>
                <w:szCs w:val="18"/>
              </w:rPr>
              <w:t xml:space="preserve"> </w:t>
            </w:r>
            <w:r>
              <w:rPr>
                <w:sz w:val="18"/>
                <w:szCs w:val="18"/>
              </w:rPr>
              <w:fldChar w:fldCharType="begin"/>
            </w:r>
            <w:r>
              <w:rPr>
                <w:sz w:val="18"/>
                <w:szCs w:val="18"/>
              </w:rPr>
              <w:instrText xml:space="preserve"> ADDIN ZOTERO_ITEM CSL_CITATION {"citationID":"T4ShplX7","properties":{"formattedCitation":"(Milborrow 2023)","plainCitation":"(Milborrow 2023)","noteIndex":0},"citationItems":[{"id":1718,"uris":["http://zotero.org/users/4259226/items/T5LBTAKE"],"itemData":{"id":1718,"type":"software","abstract":"Build regression models using the techniques in Friedman's papers \"Fast MARS\" and \"Multivariate Adaptive Regression Splines\" &lt;doi:10.1214/aos/1176347963&gt;. (The term \"MARS\" is trademarked and thus not used in the name of the package.)","license":"GPL-3","source":"R-Packages","title":"earth: Multivariate Adaptive Regression Splines","title-short":"earth","URL":"https://cran.r-project.org/web/packages/earth/index.html","version":"5.3.2","author":[{"family":"Milborrow","given":"Stephen"}],"accessed":{"date-parts":[["2023",11,30]]},"issued":{"date-parts":[["2023",1,26]]}}}],"schema":"https://github.com/citation-style-language/schema/raw/master/csl-citation.json"} </w:instrText>
            </w:r>
            <w:r>
              <w:rPr>
                <w:sz w:val="18"/>
                <w:szCs w:val="18"/>
              </w:rPr>
              <w:fldChar w:fldCharType="separate"/>
            </w:r>
            <w:r>
              <w:rPr>
                <w:noProof/>
                <w:sz w:val="18"/>
                <w:szCs w:val="18"/>
              </w:rPr>
              <w:t>(Milborrow 2023)</w:t>
            </w:r>
            <w:r>
              <w:rPr>
                <w:sz w:val="18"/>
                <w:szCs w:val="18"/>
              </w:rPr>
              <w:fldChar w:fldCharType="end"/>
            </w:r>
            <w:r>
              <w:rPr>
                <w:sz w:val="18"/>
                <w:szCs w:val="18"/>
              </w:rPr>
              <w:t xml:space="preserve"> </w:t>
            </w:r>
          </w:p>
        </w:tc>
      </w:tr>
      <w:tr w:rsidR="00274FDF" w:rsidRPr="00D46F7C" w14:paraId="72EE80A3" w14:textId="77777777" w:rsidTr="00274FDF">
        <w:tc>
          <w:tcPr>
            <w:tcW w:w="0" w:type="auto"/>
          </w:tcPr>
          <w:p w14:paraId="6E54066B" w14:textId="77777777" w:rsidR="00274FDF" w:rsidRPr="00D46F7C" w:rsidRDefault="00274FDF" w:rsidP="00B9614A">
            <w:pPr>
              <w:rPr>
                <w:sz w:val="18"/>
                <w:szCs w:val="18"/>
              </w:rPr>
            </w:pPr>
            <w:r w:rsidRPr="00D46F7C">
              <w:rPr>
                <w:sz w:val="18"/>
                <w:szCs w:val="18"/>
              </w:rPr>
              <w:t>Penalized discriminant analysis</w:t>
            </w:r>
          </w:p>
        </w:tc>
        <w:tc>
          <w:tcPr>
            <w:tcW w:w="0" w:type="auto"/>
          </w:tcPr>
          <w:p w14:paraId="6572AFFE" w14:textId="181DDD4E" w:rsidR="00274FDF" w:rsidRPr="00D46F7C" w:rsidRDefault="00274FDF" w:rsidP="00B9614A">
            <w:pPr>
              <w:rPr>
                <w:sz w:val="18"/>
                <w:szCs w:val="18"/>
              </w:rPr>
            </w:pPr>
            <w:r>
              <w:rPr>
                <w:sz w:val="18"/>
                <w:szCs w:val="18"/>
              </w:rPr>
              <w:t>Shrinkage penalty coefficient: (0, 0.1)</w:t>
            </w:r>
          </w:p>
        </w:tc>
        <w:tc>
          <w:tcPr>
            <w:tcW w:w="0" w:type="auto"/>
          </w:tcPr>
          <w:p w14:paraId="7BD69A68" w14:textId="028EB30E" w:rsidR="00274FDF" w:rsidRPr="00D46F7C" w:rsidRDefault="00274FDF" w:rsidP="00B9614A">
            <w:pPr>
              <w:rPr>
                <w:sz w:val="18"/>
                <w:szCs w:val="18"/>
              </w:rPr>
            </w:pPr>
            <w:proofErr w:type="spellStart"/>
            <w:r w:rsidRPr="00D46F7C">
              <w:rPr>
                <w:sz w:val="18"/>
                <w:szCs w:val="18"/>
              </w:rPr>
              <w:t>pda</w:t>
            </w:r>
            <w:proofErr w:type="spellEnd"/>
            <w:r>
              <w:rPr>
                <w:sz w:val="18"/>
                <w:szCs w:val="18"/>
              </w:rPr>
              <w:t xml:space="preserve"> </w:t>
            </w:r>
            <w:r>
              <w:rPr>
                <w:sz w:val="18"/>
                <w:szCs w:val="18"/>
              </w:rPr>
              <w:fldChar w:fldCharType="begin"/>
            </w:r>
            <w:r>
              <w:rPr>
                <w:sz w:val="18"/>
                <w:szCs w:val="18"/>
              </w:rPr>
              <w:instrText xml:space="preserve"> ADDIN ZOTERO_ITEM CSL_CITATION {"citationID":"BW1x1anQ","properties":{"formattedCitation":"(Hastie and Tibshirani 2023)","plainCitation":"(Hastie and Tibshirani 2023)","noteIndex":0},"citationItems":[{"id":1719,"uris":["http://zotero.org/users/4259226/items/WSIPNKWJ"],"itemData":{"id":1719,"type":"software","abstract":"Mixture and flexible discriminant analysis, multivariate adaptive regression splines (MARS), BRUTO, and vector-response smoothing splines. Hastie, Tibshirani and Friedman (2009) \"Elements of Statistical Learning (second edition, chap 12)\" Springer, New York.","license":"GPL-2","source":"R-Packages","title":"mda: Mixture and Flexible Discriminant Analysis","title-short":"mda","URL":"https://cran.r-project.org/web/packages/mda/index.html","version":"0.5-4","author":[{"family":"Hastie","given":"Trevor"},{"family":"Tibshirani","given":"Robert"}],"accessed":{"date-parts":[["2023",11,30]]},"issued":{"date-parts":[["2023",6,23]]}}}],"schema":"https://github.com/citation-style-language/schema/raw/master/csl-citation.json"} </w:instrText>
            </w:r>
            <w:r>
              <w:rPr>
                <w:sz w:val="18"/>
                <w:szCs w:val="18"/>
              </w:rPr>
              <w:fldChar w:fldCharType="separate"/>
            </w:r>
            <w:r>
              <w:rPr>
                <w:noProof/>
                <w:sz w:val="18"/>
                <w:szCs w:val="18"/>
              </w:rPr>
              <w:t>(Hastie and Tibshirani 2023)</w:t>
            </w:r>
            <w:r>
              <w:rPr>
                <w:sz w:val="18"/>
                <w:szCs w:val="18"/>
              </w:rPr>
              <w:fldChar w:fldCharType="end"/>
            </w:r>
          </w:p>
        </w:tc>
      </w:tr>
      <w:tr w:rsidR="00274FDF" w:rsidRPr="00D46F7C" w14:paraId="2C1C741E" w14:textId="77777777" w:rsidTr="00274FDF">
        <w:tc>
          <w:tcPr>
            <w:tcW w:w="0" w:type="auto"/>
          </w:tcPr>
          <w:p w14:paraId="42C9ECF8" w14:textId="77777777" w:rsidR="00274FDF" w:rsidRPr="00D46F7C" w:rsidRDefault="00274FDF" w:rsidP="00B9614A">
            <w:pPr>
              <w:rPr>
                <w:sz w:val="18"/>
                <w:szCs w:val="18"/>
              </w:rPr>
            </w:pPr>
            <w:r w:rsidRPr="00D46F7C">
              <w:rPr>
                <w:sz w:val="18"/>
                <w:szCs w:val="18"/>
              </w:rPr>
              <w:t>Penalized multinomial regression</w:t>
            </w:r>
          </w:p>
        </w:tc>
        <w:tc>
          <w:tcPr>
            <w:tcW w:w="0" w:type="auto"/>
          </w:tcPr>
          <w:p w14:paraId="7ED95969" w14:textId="73EF2867" w:rsidR="00274FDF" w:rsidRPr="00D46F7C" w:rsidRDefault="00274FDF" w:rsidP="00B9614A">
            <w:pPr>
              <w:rPr>
                <w:sz w:val="18"/>
                <w:szCs w:val="18"/>
              </w:rPr>
            </w:pPr>
            <w:r>
              <w:rPr>
                <w:sz w:val="18"/>
                <w:szCs w:val="18"/>
              </w:rPr>
              <w:t>Weight decay = (0, 0.1)</w:t>
            </w:r>
          </w:p>
        </w:tc>
        <w:tc>
          <w:tcPr>
            <w:tcW w:w="0" w:type="auto"/>
          </w:tcPr>
          <w:p w14:paraId="7347FF5C" w14:textId="13F5AFD2" w:rsidR="00274FDF" w:rsidRPr="00D46F7C" w:rsidRDefault="00274FDF" w:rsidP="00B9614A">
            <w:pPr>
              <w:rPr>
                <w:sz w:val="18"/>
                <w:szCs w:val="18"/>
              </w:rPr>
            </w:pPr>
            <w:proofErr w:type="spellStart"/>
            <w:r w:rsidRPr="00D46F7C">
              <w:rPr>
                <w:sz w:val="18"/>
                <w:szCs w:val="18"/>
              </w:rPr>
              <w:t>M</w:t>
            </w:r>
            <w:r w:rsidRPr="00D46F7C">
              <w:rPr>
                <w:sz w:val="18"/>
                <w:szCs w:val="18"/>
              </w:rPr>
              <w:t>ultinom</w:t>
            </w:r>
            <w:proofErr w:type="spellEnd"/>
            <w:r>
              <w:rPr>
                <w:sz w:val="18"/>
                <w:szCs w:val="18"/>
              </w:rPr>
              <w:t xml:space="preserve"> </w:t>
            </w:r>
            <w:r>
              <w:rPr>
                <w:sz w:val="18"/>
                <w:szCs w:val="18"/>
              </w:rPr>
              <w:fldChar w:fldCharType="begin"/>
            </w:r>
            <w:r>
              <w:rPr>
                <w:sz w:val="18"/>
                <w:szCs w:val="18"/>
              </w:rPr>
              <w:instrText xml:space="preserve"> ADDIN ZOTERO_ITEM CSL_CITATION {"citationID":"Pk4kuX3s","properties":{"formattedCitation":"(Ripley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Pr>
                <w:sz w:val="18"/>
                <w:szCs w:val="18"/>
              </w:rPr>
              <w:fldChar w:fldCharType="separate"/>
            </w:r>
            <w:r>
              <w:rPr>
                <w:noProof/>
                <w:sz w:val="18"/>
                <w:szCs w:val="18"/>
              </w:rPr>
              <w:t>(Ripley and Venables 2023)</w:t>
            </w:r>
            <w:r>
              <w:rPr>
                <w:sz w:val="18"/>
                <w:szCs w:val="18"/>
              </w:rPr>
              <w:fldChar w:fldCharType="end"/>
            </w:r>
          </w:p>
        </w:tc>
      </w:tr>
      <w:tr w:rsidR="00274FDF" w:rsidRPr="00D46F7C" w14:paraId="56C4FF24" w14:textId="77777777" w:rsidTr="00274FDF">
        <w:tc>
          <w:tcPr>
            <w:tcW w:w="0" w:type="auto"/>
          </w:tcPr>
          <w:p w14:paraId="5A9F7AF0" w14:textId="1FACE9C4" w:rsidR="00274FDF" w:rsidRPr="00D46F7C" w:rsidRDefault="00274FDF" w:rsidP="00B9614A">
            <w:pPr>
              <w:rPr>
                <w:sz w:val="18"/>
                <w:szCs w:val="18"/>
              </w:rPr>
            </w:pPr>
            <w:r w:rsidRPr="00D46F7C">
              <w:rPr>
                <w:sz w:val="18"/>
                <w:szCs w:val="18"/>
              </w:rPr>
              <w:t xml:space="preserve">Bagged classification and regression tree </w:t>
            </w:r>
          </w:p>
        </w:tc>
        <w:tc>
          <w:tcPr>
            <w:tcW w:w="0" w:type="auto"/>
          </w:tcPr>
          <w:p w14:paraId="278E18E5" w14:textId="77777777" w:rsidR="00274FDF" w:rsidRPr="00D46F7C" w:rsidRDefault="00274FDF" w:rsidP="00B9614A">
            <w:pPr>
              <w:rPr>
                <w:sz w:val="18"/>
                <w:szCs w:val="18"/>
              </w:rPr>
            </w:pPr>
            <w:r w:rsidRPr="00D46F7C">
              <w:rPr>
                <w:sz w:val="18"/>
                <w:szCs w:val="18"/>
              </w:rPr>
              <w:t>None</w:t>
            </w:r>
          </w:p>
        </w:tc>
        <w:tc>
          <w:tcPr>
            <w:tcW w:w="0" w:type="auto"/>
          </w:tcPr>
          <w:p w14:paraId="115DCE6E" w14:textId="59CE8F00" w:rsidR="00274FDF" w:rsidRPr="00D46F7C" w:rsidRDefault="00274FDF" w:rsidP="00B9614A">
            <w:pPr>
              <w:rPr>
                <w:sz w:val="18"/>
                <w:szCs w:val="18"/>
              </w:rPr>
            </w:pPr>
            <w:proofErr w:type="spellStart"/>
            <w:r w:rsidRPr="00D46F7C">
              <w:rPr>
                <w:sz w:val="18"/>
                <w:szCs w:val="18"/>
              </w:rPr>
              <w:t>treebag</w:t>
            </w:r>
            <w:proofErr w:type="spellEnd"/>
            <w:r>
              <w:rPr>
                <w:sz w:val="18"/>
                <w:szCs w:val="18"/>
              </w:rPr>
              <w:t xml:space="preserve"> </w:t>
            </w:r>
            <w:r>
              <w:rPr>
                <w:sz w:val="18"/>
                <w:szCs w:val="18"/>
              </w:rPr>
              <w:fldChar w:fldCharType="begin"/>
            </w:r>
            <w:r>
              <w:rPr>
                <w:sz w:val="18"/>
                <w:szCs w:val="18"/>
              </w:rPr>
              <w:instrText xml:space="preserve"> ADDIN ZOTERO_ITEM CSL_CITATION {"citationID":"TfNJvyZ3","properties":{"formattedCitation":"(Peters et al. 2023; Wickham 2023; Meyer et al. 2023)","plainCitation":"(Peters et al. 2023; Wickham 2023; Meyer et al. 2023)","noteIndex":0},"citationItems":[{"id":1721,"uris":["http://zotero.org/users/4259226/items/P2KSCMBL"],"itemData":{"id":1721,"type":"software","abstract":"Improved predictive models by indirect classification and bagging for classification, regression and survival problems as well as resampling based estimators of prediction error.","license":"GPL-2 | GPL-3 [expanded from: GPL (≥ 2)]","source":"R-Packages","title":"ipred: Improved Predictors","title-short":"ipred","URL":"https://cran.r-project.org/web/packages/ipred/index.html","version":"0.9-14","author":[{"family":"Peters","given":"Andrea"},{"family":"Hothorn","given":"Torsten"},{"family":"Ripley","given":"Brian D."},{"family":"Therneau","given":"Terry"},{"family":"Atkinson","given":"Beth"}],"accessed":{"date-parts":[["2023",11,30]]},"issued":{"date-parts":[["2023",3,9]]}}},{"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(libsvm"}],"accessed":{"date-parts":[["2023",11,30]]},"issued":{"date-parts":[["2023",2,1]]}}}],"schema":"https://github.com/citation-style-language/schema/raw/master/csl-citation.json"} </w:instrText>
            </w:r>
            <w:r>
              <w:rPr>
                <w:sz w:val="18"/>
                <w:szCs w:val="18"/>
              </w:rPr>
              <w:fldChar w:fldCharType="separate"/>
            </w:r>
            <w:r>
              <w:rPr>
                <w:noProof/>
                <w:sz w:val="18"/>
                <w:szCs w:val="18"/>
              </w:rPr>
              <w:t>(Peters et al. 2023; Wickham 2023; Meyer et al. 2023)</w:t>
            </w:r>
            <w:r>
              <w:rPr>
                <w:sz w:val="18"/>
                <w:szCs w:val="18"/>
              </w:rPr>
              <w:fldChar w:fldCharType="end"/>
            </w:r>
          </w:p>
        </w:tc>
      </w:tr>
      <w:tr w:rsidR="00274FDF" w:rsidRPr="00D46F7C" w14:paraId="4252498D" w14:textId="77777777" w:rsidTr="00274FDF">
        <w:tc>
          <w:tcPr>
            <w:tcW w:w="0" w:type="auto"/>
          </w:tcPr>
          <w:p w14:paraId="5E7CF639" w14:textId="31E22875" w:rsidR="00274FDF" w:rsidRPr="00D46F7C" w:rsidRDefault="00274FDF" w:rsidP="00B9614A">
            <w:pPr>
              <w:rPr>
                <w:sz w:val="18"/>
                <w:szCs w:val="18"/>
              </w:rPr>
            </w:pPr>
            <w:r>
              <w:rPr>
                <w:sz w:val="18"/>
                <w:szCs w:val="18"/>
              </w:rPr>
              <w:t>Stochastic gradient boosting</w:t>
            </w:r>
          </w:p>
        </w:tc>
        <w:tc>
          <w:tcPr>
            <w:tcW w:w="0" w:type="auto"/>
          </w:tcPr>
          <w:p w14:paraId="5037667B" w14:textId="6D70444C" w:rsidR="00274FDF" w:rsidRDefault="00274FDF" w:rsidP="00B9614A">
            <w:pPr>
              <w:rPr>
                <w:sz w:val="18"/>
                <w:szCs w:val="18"/>
              </w:rPr>
            </w:pPr>
            <w:r>
              <w:rPr>
                <w:sz w:val="18"/>
                <w:szCs w:val="18"/>
              </w:rPr>
              <w:t># Boosting iterations: (50, 500)</w:t>
            </w:r>
          </w:p>
          <w:p w14:paraId="770F2F02" w14:textId="1B13AF55" w:rsidR="00274FDF" w:rsidRDefault="00274FDF" w:rsidP="00B9614A">
            <w:pPr>
              <w:rPr>
                <w:sz w:val="18"/>
                <w:szCs w:val="18"/>
              </w:rPr>
            </w:pPr>
            <w:r>
              <w:rPr>
                <w:sz w:val="18"/>
                <w:szCs w:val="18"/>
              </w:rPr>
              <w:t>Max. tree depth: 1</w:t>
            </w:r>
          </w:p>
          <w:p w14:paraId="1D482C3C" w14:textId="6AA9D19A" w:rsidR="00274FDF" w:rsidRPr="00860688" w:rsidRDefault="00274FDF" w:rsidP="00B9614A">
            <w:pPr>
              <w:rPr>
                <w:sz w:val="18"/>
                <w:szCs w:val="18"/>
              </w:rPr>
            </w:pPr>
            <w:r>
              <w:rPr>
                <w:sz w:val="18"/>
                <w:szCs w:val="18"/>
              </w:rPr>
              <w:t>Shrinkage: (5</w:t>
            </w:r>
            <m:oMath>
              <m:r>
                <w:rPr>
                  <w:rFonts w:ascii="Cambria Math" w:hAnsi="Cambria Math"/>
                  <w:sz w:val="18"/>
                  <w:szCs w:val="18"/>
                </w:rPr>
                <m:t>×</m:t>
              </m:r>
            </m:oMath>
            <w:r>
              <w:rPr>
                <w:rFonts w:eastAsiaTheme="minorEastAsia"/>
                <w:sz w:val="18"/>
                <w:szCs w:val="18"/>
              </w:rPr>
              <w:t>10</w:t>
            </w:r>
            <w:r w:rsidRPr="00860688">
              <w:rPr>
                <w:rFonts w:eastAsiaTheme="minorEastAsia"/>
                <w:sz w:val="18"/>
                <w:szCs w:val="18"/>
                <w:vertAlign w:val="superscript"/>
              </w:rPr>
              <w:t>-3</w:t>
            </w:r>
            <w:r>
              <w:rPr>
                <w:rFonts w:eastAsiaTheme="minorEastAsia"/>
                <w:sz w:val="18"/>
                <w:szCs w:val="18"/>
              </w:rPr>
              <w:t xml:space="preserve">, </w:t>
            </w:r>
            <w:r>
              <w:rPr>
                <w:sz w:val="18"/>
                <w:szCs w:val="18"/>
              </w:rPr>
              <w:t>5</w:t>
            </w:r>
            <m:oMath>
              <m:r>
                <w:rPr>
                  <w:rFonts w:ascii="Cambria Math" w:hAnsi="Cambria Math"/>
                  <w:sz w:val="18"/>
                  <w:szCs w:val="18"/>
                </w:rPr>
                <m:t>×</m:t>
              </m:r>
            </m:oMath>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2</w:t>
            </w:r>
            <w:r>
              <w:rPr>
                <w:rFonts w:eastAsiaTheme="minorEastAsia"/>
                <w:sz w:val="18"/>
                <w:szCs w:val="18"/>
              </w:rPr>
              <w:t>)</w:t>
            </w:r>
          </w:p>
          <w:p w14:paraId="1A8B85C2" w14:textId="417397D9" w:rsidR="00274FDF" w:rsidRPr="00D46F7C" w:rsidRDefault="00274FDF" w:rsidP="00B9614A">
            <w:pPr>
              <w:rPr>
                <w:sz w:val="18"/>
                <w:szCs w:val="18"/>
              </w:rPr>
            </w:pPr>
            <w:r>
              <w:rPr>
                <w:sz w:val="18"/>
                <w:szCs w:val="18"/>
              </w:rPr>
              <w:t>Min. terminal node size: 10</w:t>
            </w:r>
          </w:p>
        </w:tc>
        <w:tc>
          <w:tcPr>
            <w:tcW w:w="0" w:type="auto"/>
          </w:tcPr>
          <w:p w14:paraId="75972423" w14:textId="595E5346" w:rsidR="00274FDF" w:rsidRPr="00D46F7C" w:rsidRDefault="00274FDF" w:rsidP="00B9614A">
            <w:pPr>
              <w:rPr>
                <w:sz w:val="18"/>
                <w:szCs w:val="18"/>
              </w:rPr>
            </w:pPr>
            <w:proofErr w:type="spellStart"/>
            <w:r>
              <w:rPr>
                <w:sz w:val="18"/>
                <w:szCs w:val="18"/>
              </w:rPr>
              <w:t>g</w:t>
            </w:r>
            <w:r w:rsidRPr="00D46F7C">
              <w:rPr>
                <w:sz w:val="18"/>
                <w:szCs w:val="18"/>
              </w:rPr>
              <w:t>bm</w:t>
            </w:r>
            <w:proofErr w:type="spellEnd"/>
            <w:r>
              <w:rPr>
                <w:sz w:val="18"/>
                <w:szCs w:val="18"/>
              </w:rPr>
              <w:t xml:space="preserve"> </w:t>
            </w:r>
            <w:r>
              <w:rPr>
                <w:sz w:val="18"/>
                <w:szCs w:val="18"/>
              </w:rPr>
              <w:fldChar w:fldCharType="begin"/>
            </w:r>
            <w:r>
              <w:rPr>
                <w:sz w:val="18"/>
                <w:szCs w:val="18"/>
              </w:rPr>
              <w:instrText xml:space="preserve"> ADDIN ZOTERO_ITEM CSL_CITATION {"citationID":"3l8dmECu","properties":{"formattedCitation":"(Greenwell et al. 2022; Wickham 2023)","plainCitation":"(Greenwell et al. 2022; Wickham 2023)","noteIndex":0},"citationItems":[{"id":1724,"uris":["http://zotero.org/users/4259226/items/Z4TX3GGC"],"itemData":{"id":1724,"type":"software","abstract":"An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M."}],"accessed":{"date-parts":[["2023",11,30]]},"issued":{"date-parts":[["2022",8,11]]}}},{"id":1722,"uris":["http://zotero.org/users/4259226/items/3D4DXCX9"],"itemData":{"id":1722,"type":"software","abstract":"A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Dickinson'.","license":"MIT + file LICENSE","source":"R-Packages","title":"plyr: Tools for Splitting, Applying and Combining Data","title-short":"plyr","URL":"https://cran.r-project.org/web/packages/plyr/index.html","version":"1.8.9","author":[{"family":"Wickham","given":"Hadley"}],"accessed":{"date-parts":[["2023",11,30]]},"issued":{"date-parts":[["2023",10,2]]}}}],"schema":"https://github.com/citation-style-language/schema/raw/master/csl-citation.json"} </w:instrText>
            </w:r>
            <w:r>
              <w:rPr>
                <w:sz w:val="18"/>
                <w:szCs w:val="18"/>
              </w:rPr>
              <w:fldChar w:fldCharType="separate"/>
            </w:r>
            <w:r>
              <w:rPr>
                <w:noProof/>
                <w:sz w:val="18"/>
                <w:szCs w:val="18"/>
              </w:rPr>
              <w:t>(Greenwell et al. 2022; Wickham 2023)</w:t>
            </w:r>
            <w:r>
              <w:rPr>
                <w:sz w:val="18"/>
                <w:szCs w:val="18"/>
              </w:rPr>
              <w:fldChar w:fldCharType="end"/>
            </w:r>
          </w:p>
        </w:tc>
      </w:tr>
      <w:tr w:rsidR="00274FDF" w:rsidRPr="00D46F7C" w14:paraId="6542A142" w14:textId="77777777" w:rsidTr="00274FDF">
        <w:tc>
          <w:tcPr>
            <w:tcW w:w="0" w:type="auto"/>
          </w:tcPr>
          <w:p w14:paraId="69DC8335" w14:textId="77777777" w:rsidR="00274FDF" w:rsidRPr="00D46F7C" w:rsidRDefault="00274FDF" w:rsidP="00B9614A">
            <w:pPr>
              <w:rPr>
                <w:sz w:val="18"/>
                <w:szCs w:val="18"/>
              </w:rPr>
            </w:pPr>
            <w:r w:rsidRPr="00D46F7C">
              <w:rPr>
                <w:sz w:val="18"/>
                <w:szCs w:val="18"/>
              </w:rPr>
              <w:t>Random forest</w:t>
            </w:r>
          </w:p>
        </w:tc>
        <w:tc>
          <w:tcPr>
            <w:tcW w:w="0" w:type="auto"/>
          </w:tcPr>
          <w:p w14:paraId="51A43C04" w14:textId="284F1005" w:rsidR="00274FDF" w:rsidRDefault="00274FDF" w:rsidP="00B9614A">
            <w:pPr>
              <w:rPr>
                <w:sz w:val="18"/>
                <w:szCs w:val="18"/>
              </w:rPr>
            </w:pPr>
            <w:r>
              <w:rPr>
                <w:sz w:val="18"/>
                <w:szCs w:val="18"/>
              </w:rPr>
              <w:t># Randomly selected predictors: (1, # of variables)</w:t>
            </w:r>
          </w:p>
          <w:p w14:paraId="513E6470" w14:textId="4D3CBDF8" w:rsidR="00274FDF" w:rsidRDefault="00274FDF" w:rsidP="00B9614A">
            <w:pPr>
              <w:rPr>
                <w:sz w:val="18"/>
                <w:szCs w:val="18"/>
              </w:rPr>
            </w:pPr>
            <w:r>
              <w:rPr>
                <w:sz w:val="18"/>
                <w:szCs w:val="18"/>
              </w:rPr>
              <w:t>Splitting rule: Gini impurity, extremely randomized</w:t>
            </w:r>
          </w:p>
          <w:p w14:paraId="31FE48D8" w14:textId="3563665A" w:rsidR="00274FDF" w:rsidRPr="00D46F7C" w:rsidRDefault="00274FDF" w:rsidP="00B9614A">
            <w:pPr>
              <w:rPr>
                <w:sz w:val="18"/>
                <w:szCs w:val="18"/>
              </w:rPr>
            </w:pPr>
            <w:r>
              <w:rPr>
                <w:sz w:val="18"/>
                <w:szCs w:val="18"/>
              </w:rPr>
              <w:t>Min. node size: (1, 5)</w:t>
            </w:r>
          </w:p>
        </w:tc>
        <w:tc>
          <w:tcPr>
            <w:tcW w:w="0" w:type="auto"/>
          </w:tcPr>
          <w:p w14:paraId="033D646F" w14:textId="768CC635" w:rsidR="00274FDF" w:rsidRPr="00D46F7C" w:rsidRDefault="00274FDF" w:rsidP="00B9614A">
            <w:pPr>
              <w:rPr>
                <w:sz w:val="18"/>
                <w:szCs w:val="18"/>
              </w:rPr>
            </w:pPr>
            <w:r w:rsidRPr="00D46F7C">
              <w:rPr>
                <w:sz w:val="18"/>
                <w:szCs w:val="18"/>
              </w:rPr>
              <w:t>ranger</w:t>
            </w:r>
            <w:r>
              <w:rPr>
                <w:sz w:val="18"/>
                <w:szCs w:val="18"/>
              </w:rPr>
              <w:t xml:space="preserve"> </w:t>
            </w:r>
            <w:r>
              <w:rPr>
                <w:sz w:val="18"/>
                <w:szCs w:val="18"/>
              </w:rPr>
              <w:fldChar w:fldCharType="begin"/>
            </w:r>
            <w:r>
              <w:rPr>
                <w:sz w:val="18"/>
                <w:szCs w:val="18"/>
              </w:rPr>
              <w:instrText xml:space="preserve"> ADDIN ZOTERO_ITEM CSL_CITATION {"citationID":"RN8m966O","properties":{"formattedCitation":"(Meyer et al. 2023; Greenwell et al. 2022; Wickham et al. 2023)","plainCitation":"(Meyer et al. 2023; Greenwell et al. 2022; Wickham et al. 2023)","noteIndex":0},"citationItems":[{"id":1723,"uris":["http://zotero.org/users/4259226/items/J5G26T5V"],"itemData":{"id":1723,"type":"software","abstract":"Functions for latent class analysis, short time Fourier transform, fuzzy clustering, support vector machines, shortest path computation, bagged clustering, naive Bayes classifier, generalized k-nearest neighbour ...","license":"GPL-2 | GPL-3","source":"R-Packages","title":"e1071: Misc Functions of the Department of Statistics, Probability Theory Group (Formerly: E1071), TU Wien","title-short":"e1071","URL":"https://cran.r-project.org/web/packages/e1071/index.html","version":"1.7-13","author":[{"family":"Meyer","given":"David"},{"family":"Dimitriadou","given":"Evgenia"},{"family":"Hornik","given":"Kurt"},{"family":"Weingessel","given":"Andreas"},{"family":"Leisch","given":"Friedrich"},{"family":"C++-code)","given":"Chih-Chung Chang (libsvm"},{"family":"C++-code)","given":"Chih-Chen Lin (libsvm"}],"accessed":{"date-parts":[["2023",11,30]]},"issued":{"date-parts":[["2023",2,1]]}}},{"id":1724,"uris":["http://zotero.org/users/4259226/items/Z4TX3GGC"],"itemData":{"id":1724,"type":"software","abstract":"An implementation of extensions to Freund and Schapire's AdaBoost algorithm and Friedman's gradient boosting machine. Includes regression methods for least squares, absolute loss, t-distribution loss, quantile regression, logistic, multinomial logistic, Poisson, Cox proportional hazards partial likelihood, AdaBoost exponential loss, Huberized hinge loss, and Learning to Rank measures (LambdaMart). Originally developed by Greg Ridgeway.","license":"GPL-2 | GPL-3 | file LICENSE [expanded from: GPL (≥ 2) | file LICENSE]","source":"R-Packages","title":"gbm: Generalized Boosted Regression Models","title-short":"gbm","URL":"https://cran.r-project.org/web/packages/gbm/index.html","version":"2.1.8.1","author":[{"family":"Greenwell","given":"Brandon"},{"family":"Boehmke","given":"Bradley"},{"family":"Cunningham","given":"Jay"},{"family":"Developers  (https://github.com/gbm-developers)","given":"G. B. M."}],"accessed":{"date-parts":[["2023",11,30]]},"issued":{"date-parts":[["2022",8,11]]}}},{"id":1726,"uris":["http://zotero.org/users/4259226/items/U8EJ36KG"],"itemData":{"id":1726,"type":"software","abstract":"A fast, consistent tool for working with data frame like objects, both in memory and out of memory.","license":"MIT + file LICENSE","source":"R-Packages","title":"dplyr: A Grammar of Data Manipulation","title-short":"dplyr","URL":"https://cran.r-project.org/web/packages/dplyr/index.html","version":"1.1.4","author":[{"family":"Wickham","given":"Hadley"},{"family":"François","given":"Romain"},{"family":"Henry","given":"Lionel"},{"family":"Müller","given":"Kirill"},{"family":"Vaughan","given":"Davis"},{"family":"Software","given":"Posit"},{"family":"PBC","given":""}],"accessed":{"date-parts":[["2023",11,30]]},"issued":{"date-parts":[["2023",11,17]]}}}],"schema":"https://github.com/citation-style-language/schema/raw/master/csl-citation.json"} </w:instrText>
            </w:r>
            <w:r>
              <w:rPr>
                <w:sz w:val="18"/>
                <w:szCs w:val="18"/>
              </w:rPr>
              <w:fldChar w:fldCharType="separate"/>
            </w:r>
            <w:r>
              <w:rPr>
                <w:noProof/>
                <w:sz w:val="18"/>
                <w:szCs w:val="18"/>
              </w:rPr>
              <w:t>(Meyer et al. 2023; Greenwell et al. 2022; Wickham et al. 2023)</w:t>
            </w:r>
            <w:r>
              <w:rPr>
                <w:sz w:val="18"/>
                <w:szCs w:val="18"/>
              </w:rPr>
              <w:fldChar w:fldCharType="end"/>
            </w:r>
          </w:p>
        </w:tc>
      </w:tr>
      <w:tr w:rsidR="00274FDF" w:rsidRPr="00D46F7C" w14:paraId="3E1616B5" w14:textId="77777777" w:rsidTr="00274FDF">
        <w:tc>
          <w:tcPr>
            <w:tcW w:w="0" w:type="auto"/>
          </w:tcPr>
          <w:p w14:paraId="48313DE4" w14:textId="77777777" w:rsidR="00274FDF" w:rsidRPr="00D46F7C" w:rsidRDefault="00274FDF" w:rsidP="00B9614A">
            <w:pPr>
              <w:rPr>
                <w:sz w:val="18"/>
                <w:szCs w:val="18"/>
              </w:rPr>
            </w:pPr>
            <w:r w:rsidRPr="00D46F7C">
              <w:rPr>
                <w:sz w:val="18"/>
                <w:szCs w:val="18"/>
              </w:rPr>
              <w:t>Single layer neural network</w:t>
            </w:r>
          </w:p>
        </w:tc>
        <w:tc>
          <w:tcPr>
            <w:tcW w:w="0" w:type="auto"/>
          </w:tcPr>
          <w:p w14:paraId="0E35AFC5" w14:textId="6C9681E4" w:rsidR="00274FDF" w:rsidRDefault="00274FDF" w:rsidP="00B9614A">
            <w:pPr>
              <w:rPr>
                <w:sz w:val="18"/>
                <w:szCs w:val="18"/>
              </w:rPr>
            </w:pPr>
            <w:r>
              <w:rPr>
                <w:sz w:val="18"/>
                <w:szCs w:val="18"/>
              </w:rPr>
              <w:t xml:space="preserve"># Hidden units: </w:t>
            </w:r>
            <w:r>
              <w:rPr>
                <w:sz w:val="18"/>
                <w:szCs w:val="18"/>
              </w:rPr>
              <w:t>(1, # of variables)</w:t>
            </w:r>
          </w:p>
          <w:p w14:paraId="009075CA" w14:textId="3A576982" w:rsidR="00274FDF" w:rsidRPr="000D6134" w:rsidRDefault="00274FDF" w:rsidP="00B9614A">
            <w:pPr>
              <w:rPr>
                <w:sz w:val="18"/>
                <w:szCs w:val="18"/>
              </w:rPr>
            </w:pPr>
            <w:r>
              <w:rPr>
                <w:sz w:val="18"/>
                <w:szCs w:val="18"/>
              </w:rPr>
              <w:lastRenderedPageBreak/>
              <w:t>Weight decay: (</w:t>
            </w:r>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7</w:t>
            </w:r>
            <w:r>
              <w:rPr>
                <w:rFonts w:eastAsiaTheme="minorEastAsia"/>
                <w:sz w:val="18"/>
                <w:szCs w:val="18"/>
              </w:rPr>
              <w:t xml:space="preserve">, </w:t>
            </w:r>
            <w:r>
              <w:rPr>
                <w:rFonts w:eastAsiaTheme="minorEastAsia"/>
                <w:sz w:val="18"/>
                <w:szCs w:val="18"/>
              </w:rPr>
              <w:t>10</w:t>
            </w:r>
            <w:r w:rsidRPr="00860688">
              <w:rPr>
                <w:rFonts w:eastAsiaTheme="minorEastAsia"/>
                <w:sz w:val="18"/>
                <w:szCs w:val="18"/>
                <w:vertAlign w:val="superscript"/>
              </w:rPr>
              <w:t>-</w:t>
            </w:r>
            <w:r>
              <w:rPr>
                <w:rFonts w:eastAsiaTheme="minorEastAsia"/>
                <w:sz w:val="18"/>
                <w:szCs w:val="18"/>
                <w:vertAlign w:val="superscript"/>
              </w:rPr>
              <w:t>1</w:t>
            </w:r>
            <w:r>
              <w:rPr>
                <w:rFonts w:eastAsiaTheme="minorEastAsia"/>
                <w:sz w:val="18"/>
                <w:szCs w:val="18"/>
              </w:rPr>
              <w:t>)</w:t>
            </w:r>
          </w:p>
        </w:tc>
        <w:tc>
          <w:tcPr>
            <w:tcW w:w="0" w:type="auto"/>
          </w:tcPr>
          <w:p w14:paraId="41037E6E" w14:textId="401FC41D" w:rsidR="00274FDF" w:rsidRPr="00D46F7C" w:rsidRDefault="00274FDF" w:rsidP="00B9614A">
            <w:pPr>
              <w:rPr>
                <w:sz w:val="18"/>
                <w:szCs w:val="18"/>
              </w:rPr>
            </w:pPr>
            <w:proofErr w:type="spellStart"/>
            <w:r w:rsidRPr="00D46F7C">
              <w:rPr>
                <w:sz w:val="18"/>
                <w:szCs w:val="18"/>
              </w:rPr>
              <w:lastRenderedPageBreak/>
              <w:t>nnet</w:t>
            </w:r>
            <w:proofErr w:type="spellEnd"/>
            <w:r>
              <w:rPr>
                <w:sz w:val="18"/>
                <w:szCs w:val="18"/>
              </w:rPr>
              <w:t xml:space="preserve"> </w:t>
            </w:r>
            <w:r>
              <w:rPr>
                <w:sz w:val="18"/>
                <w:szCs w:val="18"/>
              </w:rPr>
              <w:fldChar w:fldCharType="begin"/>
            </w:r>
            <w:r>
              <w:rPr>
                <w:sz w:val="18"/>
                <w:szCs w:val="18"/>
              </w:rPr>
              <w:instrText xml:space="preserve"> ADDIN ZOTERO_ITEM CSL_CITATION {"citationID":"mxsLHzwR","properties":{"formattedCitation":"(Ripley and Venables 2023)","plainCitation":"(Ripley and Venables 2023)","noteIndex":0},"citationItems":[{"id":1720,"uris":["http://zotero.org/users/4259226/items/ZX8SDH75"],"itemData":{"id":1720,"type":"software","abstract":"Software for feed-forward neural networks with a single hidden layer, and for multinomial log-linear models.","license":"GPL-2 | GPL-3","source":"R-Packages","title":"nnet: Feed-Forward Neural Networks and Multinomial Log-Linear Models","title-short":"nnet","URL":"https://cran.r-project.org/web/packages/nnet/index.html","version":"7.3-19","author":[{"family":"Ripley","given":"Brian"},{"family":"Venables","given":"William"}],"accessed":{"date-parts":[["2023",11,30]]},"issued":{"date-parts":[["2023",5,3]]}}}],"schema":"https://github.com/citation-style-language/schema/raw/master/csl-citation.json"} </w:instrText>
            </w:r>
            <w:r>
              <w:rPr>
                <w:sz w:val="18"/>
                <w:szCs w:val="18"/>
              </w:rPr>
              <w:fldChar w:fldCharType="separate"/>
            </w:r>
            <w:r>
              <w:rPr>
                <w:noProof/>
                <w:sz w:val="18"/>
                <w:szCs w:val="18"/>
              </w:rPr>
              <w:t>(Ripley and Venables 2023)</w:t>
            </w:r>
            <w:r>
              <w:rPr>
                <w:sz w:val="18"/>
                <w:szCs w:val="18"/>
              </w:rPr>
              <w:fldChar w:fldCharType="end"/>
            </w:r>
          </w:p>
        </w:tc>
      </w:tr>
    </w:tbl>
    <w:p w14:paraId="45912AF5" w14:textId="7E757137" w:rsidR="00987E42" w:rsidRDefault="004D224D" w:rsidP="005C0AEB">
      <w:pPr>
        <w:spacing w:before="240"/>
      </w:pPr>
      <w:r>
        <w:t>We employed the following strategies to address the inherent class imbalance</w:t>
      </w:r>
      <w:r w:rsidR="00BF1C71">
        <w:t xml:space="preserve"> in the RECS data set</w:t>
      </w:r>
      <w:r>
        <w:t xml:space="preserve">: 1) stratified sampling 2) fewer cross-validation folds 3) class weights </w:t>
      </w:r>
      <w:r w:rsidR="00987E42">
        <w:t xml:space="preserve">4) </w:t>
      </w:r>
      <w:r>
        <w:t xml:space="preserve">sub-sampling </w:t>
      </w:r>
      <w:r w:rsidR="00987E42">
        <w:t>5</w:t>
      </w:r>
      <w:r>
        <w:t xml:space="preserve">) </w:t>
      </w:r>
      <w:r w:rsidR="00BF1C71">
        <w:t xml:space="preserve">appropriate </w:t>
      </w:r>
      <w:r>
        <w:t xml:space="preserve">performance metrics. Stratified sampling means that any time we created divisions in the data set such as splitting the training and test data or subdividing the training data into cross-validation folds, we partitioned the data based on occurrence of temperature-related morbidity. This way each subset maintained the same proportion of the dependent variable as the original data. In other words, we did not want any cross-validation folds to end up with no cases of temperature-related morbidity. </w:t>
      </w:r>
      <w:r w:rsidR="00B54978">
        <w:t xml:space="preserve">We also set 5 folds versus the common practice of 10 folds for cross-validation. This allowed us to hold more observations of temperature-related morbidity for the validation set when tuning hyperparameters. </w:t>
      </w:r>
      <w:r w:rsidR="00987E42">
        <w:t>Thirdly we test the effect of class weights on model performance. Class weights impose a heavier cost on errors in the minority class. Fourth, we considered the effect of several sub-sampling techniques during cross-validation. Up-sampling randomly replicates instances of the minority class. We also tried two hybrid methods, the synthetic minority oversampling technique (SMOTE) and random oversampling examples (ROSE), which down-sample the m</w:t>
      </w:r>
      <w:r w:rsidR="00BF1C71">
        <w:t>ajority</w:t>
      </w:r>
      <w:r w:rsidR="00987E42">
        <w:t xml:space="preserve"> class and synthesize new data points in the minority class. SMOTE draws artificial samples by choosing points on the line connecting minority class observations to its nearest neighbors in the feature space</w:t>
      </w:r>
      <w:r w:rsidR="00BF1C71">
        <w:t xml:space="preserve"> </w:t>
      </w:r>
      <w:r w:rsidR="00BF1C71">
        <w:fldChar w:fldCharType="begin"/>
      </w:r>
      <w:r w:rsidR="00BF1C71">
        <w:instrText xml:space="preserve"> ADDIN ZOTERO_ITEM CSL_CITATION {"citationID":"0cWKW2dA","properties":{"formattedCitation":"(Fernandez et al. 2018)","plainCitation":"(Fernandez et al. 2018)","noteIndex":0},"citationItems":[{"id":1713,"uris":["http://zotero.org/users/4259226/items/N5JCY53R"],"itemData":{"id":1713,"type":"article-journal","abstract":"The Synthetic Minority Oversampling Technique (SMOTE) preprocessing algorithm is considered \"de facto\" standard in the framework of learning from imbalanced data. This is due to its simplicity in the design of the procedure, as well as its robustness when applied to different type of problems. Since its publication in 2002, SMOTE has proven successful in a variety of applications from several different domains. SMOTE has also inspired several approaches to counter the issue of class imbalance, and has also significantly contributed to new supervised learning paradigms, including multilabel classification, incremental learning, semi-supervised learning, multi-instance learning, among others. It is standard benchmark for learning from imbalanced data. It is also featured in a number of different software packages - from open source to commercial. In this paper, marking the fifteen year anniversary of SMOTE, we reflect on the SMOTE journey, discuss the current state of affairs with SMOTE, its applications, and also identify the next set of challenges to extend SMOTE for Big Data problems.","container-title":"Journal of Artificial Intelligence Research","DOI":"10.1613/jair.1.11192","ISSN":"1076-9757","language":"en","license":"Copyright (c)","page":"863-905","source":"www.jair.org","title":"SMOTE for Learning from Imbalanced Data: Progress and Challenges, Marking the 15-year Anniversary","title-short":"SMOTE for Learning from Imbalanced Data","URL":"https://www.jair.org/index.php/jair/article/view/11192","volume":"61","author":[{"family":"Fernandez","given":"Alberto"},{"family":"Garcia","given":"Salvador"},{"family":"Herrera","given":"Francisco"},{"family":"Chawla","given":"Nitesh V."}],"accessed":{"date-parts":[["2023",11,30]]},"issued":{"date-parts":[["2018",4,20]]}}}],"schema":"https://github.com/citation-style-language/schema/raw/master/csl-citation.json"} </w:instrText>
      </w:r>
      <w:r w:rsidR="00BF1C71">
        <w:fldChar w:fldCharType="separate"/>
      </w:r>
      <w:r w:rsidR="00BF1C71">
        <w:rPr>
          <w:noProof/>
        </w:rPr>
        <w:t>(Fernandez et al. 2018)</w:t>
      </w:r>
      <w:r w:rsidR="00BF1C71">
        <w:fldChar w:fldCharType="end"/>
      </w:r>
      <w:r w:rsidR="00987E42">
        <w:t>. ROSE uses smoothed bootstrapping to draw artificial samples from the feature space neighborhood around the minority class</w:t>
      </w:r>
      <w:r w:rsidR="00BE7B24">
        <w:t xml:space="preserve"> </w:t>
      </w:r>
      <w:r w:rsidR="00BE7B24">
        <w:fldChar w:fldCharType="begin"/>
      </w:r>
      <w:r w:rsidR="00BE7B24">
        <w:instrText xml:space="preserve"> ADDIN ZOTERO_ITEM CSL_CITATION {"citationID":"BTWVKjnz","properties":{"formattedCitation":"(Menardi and Torelli 2014)","plainCitation":"(Menardi and Torelli 2014)","noteIndex":0},"citationItems":[{"id":1715,"uris":["http://zotero.org/users/4259226/items/K7M4Y4SH"],"itemData":{"id":1715,"type":"article-journal","abstract":"The problem of modeling binary responses by using cross-sectional data has been addressed with a number of satisfying solutions that draw on both parametric and nonparametric methods. However, there exist many real situations where one of the two responses (usually the most interesting for the analysis) is rare. It has been largely reported that this class imbalance heavily compromises the process of learning, because the model tends to focus on the prevalent class and to ignore the rare events. However, not only the estimation of the classification model is affected by a skewed distribution of the classes, but also the evaluation of its accuracy is jeopardized, because the scarcity of data leads to poor estimates of the model’s accuracy. In this work, the effects of class imbalance on model training and model assessing are discussed. Moreover, a unified and systematic framework for dealing with the problem of imbalanced classification is proposed, based on a smoothed bootstrap re-sampling technique. The proposed technique is founded on a sound theoretical basis and an extensive empirical study shows that it outperforms the main other remedies to face imbalanced learning problems.","container-title":"Data Mining and Knowledge Discovery","DOI":"10.1007/s10618-012-0295-5","ISSN":"1573-756X","issue":"1","journalAbbreviation":"Data Min Knowl Disc","language":"en","page":"92-122","source":"Springer Link","title":"Training and assessing classification rules with imbalanced data","URL":"https://doi.org/10.1007/s10618-012-0295-5","volume":"28","author":[{"family":"Menardi","given":"Giovanna"},{"family":"Torelli","given":"Nicola"}],"accessed":{"date-parts":[["2023",11,30]]},"issued":{"date-parts":[["2014",1,1]]}}}],"schema":"https://github.com/citation-style-language/schema/raw/master/csl-citation.json"} </w:instrText>
      </w:r>
      <w:r w:rsidR="00BE7B24">
        <w:fldChar w:fldCharType="separate"/>
      </w:r>
      <w:r w:rsidR="00BE7B24">
        <w:rPr>
          <w:noProof/>
        </w:rPr>
        <w:t>(Menardi and Torelli 2014)</w:t>
      </w:r>
      <w:r w:rsidR="00BE7B24">
        <w:fldChar w:fldCharType="end"/>
      </w:r>
      <w:r w:rsidR="00987E42">
        <w:t xml:space="preserve">. </w:t>
      </w:r>
    </w:p>
    <w:p w14:paraId="1B18A7FB" w14:textId="1453CCC4" w:rsidR="00503986" w:rsidRDefault="005D1769" w:rsidP="000F6D02">
      <w:pPr>
        <w:spacing w:before="240"/>
      </w:pPr>
      <w:r>
        <w:t>Finally, we considered the class imbalance in our choice of performance metric.</w:t>
      </w:r>
      <w:r w:rsidR="003E6672">
        <w:t xml:space="preserve"> As illustrated earlier, the model’s overall accuracy (ratio of correct classifications to total observations) </w:t>
      </w:r>
      <w:r w:rsidR="000F6D02">
        <w:t xml:space="preserve">can be biased for imbalanced classes. </w:t>
      </w:r>
      <w:r>
        <w:t>The routine choice for binary classification problems is the</w:t>
      </w:r>
      <w:r>
        <w:t xml:space="preserve"> Receiver Operating Characteristic (ROC) curve</w:t>
      </w:r>
      <w:r w:rsidR="00791EC2">
        <w:t xml:space="preserve">. To understand this metric, we define a positive and negative class – the two outcomes of the predictive model. </w:t>
      </w:r>
      <w:r w:rsidR="00503986">
        <w:t>In our</w:t>
      </w:r>
      <w:r w:rsidR="00791EC2">
        <w:t xml:space="preserve"> imbalanced data set, the positive class is the minority </w:t>
      </w:r>
      <w:proofErr w:type="gramStart"/>
      <w:r w:rsidR="00791EC2">
        <w:t>class</w:t>
      </w:r>
      <w:proofErr w:type="gramEnd"/>
      <w:r w:rsidR="00791EC2">
        <w:t xml:space="preserve"> and the negative class is the majority class. The ROC curve</w:t>
      </w:r>
      <w:r>
        <w:t xml:space="preserve"> plots the true positive rate</w:t>
      </w:r>
      <w:r w:rsidR="00EE439B">
        <w:t xml:space="preserve">, also called the sensitivity </w:t>
      </w:r>
      <w:r w:rsidR="00EF7959">
        <w:t>(</w:t>
      </w:r>
      <w:r w:rsidR="00EF7959" w:rsidRPr="00EF7959">
        <w:t>True</w:t>
      </w:r>
      <w:r w:rsidR="00E95673">
        <w:t xml:space="preserve"> </w:t>
      </w:r>
      <w:r w:rsidR="00EF7959" w:rsidRPr="00EF7959">
        <w:t>Positives / (True</w:t>
      </w:r>
      <w:r w:rsidR="00E95673">
        <w:t xml:space="preserve"> </w:t>
      </w:r>
      <w:r w:rsidR="00EF7959" w:rsidRPr="00EF7959">
        <w:t>Positives + False Negatives)</w:t>
      </w:r>
      <w:r w:rsidR="00EF7959">
        <w:t>)</w:t>
      </w:r>
      <w:r w:rsidR="00503986">
        <w:t>,</w:t>
      </w:r>
      <w:r>
        <w:t xml:space="preserve"> versus the false positive rate</w:t>
      </w:r>
      <w:r w:rsidR="00EE439B">
        <w:t xml:space="preserve">, </w:t>
      </w:r>
      <w:r w:rsidR="00E95673">
        <w:t>(</w:t>
      </w:r>
      <w:r w:rsidR="00E95673" w:rsidRPr="00E95673">
        <w:t>False</w:t>
      </w:r>
      <w:r w:rsidR="00E95673">
        <w:t xml:space="preserve"> </w:t>
      </w:r>
      <w:r w:rsidR="00E95673" w:rsidRPr="00E95673">
        <w:t>Positives / (False</w:t>
      </w:r>
      <w:r w:rsidR="00E95673">
        <w:t xml:space="preserve"> </w:t>
      </w:r>
      <w:r w:rsidR="00E95673" w:rsidRPr="00E95673">
        <w:t>Positives + True</w:t>
      </w:r>
      <w:r w:rsidR="00E95673">
        <w:t xml:space="preserve"> </w:t>
      </w:r>
      <w:r w:rsidR="00E95673" w:rsidRPr="00E95673">
        <w:t>Negatives)</w:t>
      </w:r>
      <w:r w:rsidR="00E95673">
        <w:t>)</w:t>
      </w:r>
      <w:r w:rsidR="00062DBF">
        <w:t xml:space="preserve"> or 1 – specificity, the true negative </w:t>
      </w:r>
      <w:proofErr w:type="gramStart"/>
      <w:r w:rsidR="00062DBF">
        <w:t xml:space="preserve">rate </w:t>
      </w:r>
      <w:r w:rsidR="00503986">
        <w:t>,</w:t>
      </w:r>
      <w:proofErr w:type="gramEnd"/>
      <w:r w:rsidR="00E95673">
        <w:t xml:space="preserve"> </w:t>
      </w:r>
      <w:r>
        <w:t>with different discrimination thresholds.</w:t>
      </w:r>
      <w:r w:rsidR="00BE7B24">
        <w:t xml:space="preserve"> </w:t>
      </w:r>
      <w:r>
        <w:t>The</w:t>
      </w:r>
      <w:r w:rsidR="00BE7B24">
        <w:t xml:space="preserve"> area under the receiver operator curve</w:t>
      </w:r>
      <w:r>
        <w:t xml:space="preserve"> summarizes the ROC curve into a single metric that represents the prediction accuracy of the model. </w:t>
      </w:r>
      <w:r>
        <w:t>This metric</w:t>
      </w:r>
      <w:r w:rsidR="005C0AEB">
        <w:t xml:space="preserve"> can be misleading for imbalanced data</w:t>
      </w:r>
      <w:r w:rsidR="00E95673">
        <w:t xml:space="preserve"> because the false positive rate becomes very small when the number of negatives is very large.</w:t>
      </w:r>
      <w:r w:rsidR="00C26EFC">
        <w:t xml:space="preserve"> </w:t>
      </w:r>
      <w:r w:rsidR="00C26EFC">
        <w:fldChar w:fldCharType="begin"/>
      </w:r>
      <w:r>
        <w:instrText xml:space="preserve"> ADDIN ZOTERO_ITEM CSL_CITATION {"citationID":"Sc1tRLoR","properties":{"formattedCitation":"(Davis and Goadrich 2006; Fawcett 2006)","plainCitation":"(Davis and Goadrich 2006; Fawcett 2006)","noteIndex":0},"citationItems":[{"id":1704,"uris":["http://zotero.org/users/4259226/items/4UNEXE4S"],"itemData":{"id":1704,"type":"paper-conference","abstract":"Receiver Operator Characteristic (ROC) curves are commonly used to present results for binary decision problems in machine learning. However, when dealing with highly skewed datasets, Precision-Recall (PR) curves give a more informative picture of an algorithm’s performance. We show that a deep connection exists between ROC space and PR space, such that a curve dominates in ROC space if and only if it dominates in PR space. A corollary is the notion of an achievable PR curve, which has properties much like the convex hull in ROC space; we show an eﬃcient algorithm for computing this curve. Finally, we also note diﬀerences in the two types of curves are signiﬁcant for algorithm design. For example, in PR space it is incorrect to linearly interpolate between points. Furthermore, algorithms that optimize the area under the ROC curve are not guaranteed to optimize the area under the PR curve.","container-title":"Proceedings of the 23rd international conference on Machine learning  - ICML '06","DOI":"10.1145/1143844.1143874","event-place":"Pittsburgh, Pennsylvania","event-title":"the 23rd international conference","ISBN":"978-1-59593-383-6","language":"en","page":"233-240","publisher":"ACM Press","publisher-place":"Pittsburgh, Pennsylvania","source":"DOI.org (Crossref)","title":"The relationship between Precision-Recall and ROC curves","URL":"http://portal.acm.org/citation.cfm?doid=1143844.1143874","author":[{"family":"Davis","given":"Jesse"},{"family":"Goadrich","given":"Mark"}],"accessed":{"date-parts":[["2023",11,23]]},"issued":{"date-parts":[["2006"]]}}},{"id":1706,"uris":["http://zotero.org/users/4259226/items/3XS75NCF"],"itemData":{"id":1706,"type":"article-journal","abstract":"Receiver operating characteristics (ROC) graphs are useful for organizing classiﬁers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research.","container-title":"Pattern Recognition Letters","DOI":"10.1016/j.patrec.2005.10.010","ISSN":"01678655","issue":"8","journalAbbreviation":"Pattern Recognition Letters","language":"en","page":"861-874","source":"DOI.org (Crossref)","title":"An introduction to ROC analysis","URL":"https://linkinghub.elsevier.com/retrieve/pii/S016786550500303X","volume":"27","author":[{"family":"Fawcett","given":"Tom"}],"accessed":{"date-parts":[["2023",11,23]]},"issued":{"date-parts":[["2006",6]]}}}],"schema":"https://github.com/citation-style-language/schema/raw/master/csl-citation.json"} </w:instrText>
      </w:r>
      <w:r w:rsidR="00C26EFC">
        <w:fldChar w:fldCharType="separate"/>
      </w:r>
      <w:r>
        <w:rPr>
          <w:noProof/>
        </w:rPr>
        <w:t>(Davis and Goadrich 2006; Fawcett 2006)</w:t>
      </w:r>
      <w:r w:rsidR="00C26EFC">
        <w:fldChar w:fldCharType="end"/>
      </w:r>
      <w:r>
        <w:t xml:space="preserve">. The Precision-Recall </w:t>
      </w:r>
      <w:r w:rsidR="00EF7959">
        <w:t xml:space="preserve">(PR) </w:t>
      </w:r>
      <w:r>
        <w:t xml:space="preserve">curve, on the other hand, plots the </w:t>
      </w:r>
      <w:r w:rsidR="00EC4798">
        <w:t>precision, defined as the number of correct positive predictions divided by the total number of positive predictions</w:t>
      </w:r>
      <w:r w:rsidR="00E95673">
        <w:t xml:space="preserve"> (</w:t>
      </w:r>
      <w:r w:rsidR="00E95673" w:rsidRPr="00E95673">
        <w:t>True</w:t>
      </w:r>
      <w:r w:rsidR="009305C1">
        <w:t xml:space="preserve"> </w:t>
      </w:r>
      <w:r w:rsidR="00E95673" w:rsidRPr="00E95673">
        <w:t>Positives / (True</w:t>
      </w:r>
      <w:r w:rsidR="009305C1">
        <w:t xml:space="preserve"> </w:t>
      </w:r>
      <w:r w:rsidR="00E95673" w:rsidRPr="00E95673">
        <w:t>Positives + False</w:t>
      </w:r>
      <w:r w:rsidR="009305C1">
        <w:t xml:space="preserve"> </w:t>
      </w:r>
      <w:r w:rsidR="00E95673" w:rsidRPr="00E95673">
        <w:t>Positives</w:t>
      </w:r>
      <w:r w:rsidR="00E95673">
        <w:t>)</w:t>
      </w:r>
      <w:r w:rsidR="00E95673" w:rsidRPr="00E95673">
        <w:t>)</w:t>
      </w:r>
      <w:r w:rsidR="009305C1">
        <w:t xml:space="preserve"> by the</w:t>
      </w:r>
      <w:r w:rsidR="00EC4798">
        <w:t xml:space="preserve"> </w:t>
      </w:r>
      <w:r w:rsidR="009305C1">
        <w:t>r</w:t>
      </w:r>
      <w:r w:rsidR="00EC4798">
        <w:t>ecall</w:t>
      </w:r>
      <w:r w:rsidR="009305C1">
        <w:t>, which</w:t>
      </w:r>
      <w:r w:rsidR="00EC4798">
        <w:t xml:space="preserve"> quantifies that number of correct positive predictions by total number of positives</w:t>
      </w:r>
      <w:r w:rsidR="009305C1">
        <w:t xml:space="preserve"> (</w:t>
      </w:r>
      <w:r w:rsidR="009305C1" w:rsidRPr="009305C1">
        <w:t>True</w:t>
      </w:r>
      <w:r w:rsidR="009305C1">
        <w:t xml:space="preserve"> </w:t>
      </w:r>
      <w:r w:rsidR="009305C1" w:rsidRPr="009305C1">
        <w:t>Positives / (True</w:t>
      </w:r>
      <w:r w:rsidR="009305C1">
        <w:t xml:space="preserve"> </w:t>
      </w:r>
      <w:r w:rsidR="009305C1" w:rsidRPr="009305C1">
        <w:t>Positives + False</w:t>
      </w:r>
      <w:r w:rsidR="009305C1">
        <w:t xml:space="preserve"> </w:t>
      </w:r>
      <w:r w:rsidR="009305C1" w:rsidRPr="009305C1">
        <w:t>Negatives)</w:t>
      </w:r>
      <w:r w:rsidR="009305C1">
        <w:t>)</w:t>
      </w:r>
      <w:r w:rsidR="00EC4798">
        <w:t xml:space="preserve"> i.e. the same as the true positive rate in the ROC curve. </w:t>
      </w:r>
    </w:p>
    <w:p w14:paraId="6D5D6D26" w14:textId="278401AD" w:rsidR="005C0AEB" w:rsidRDefault="00EF7959" w:rsidP="000F6D02">
      <w:pPr>
        <w:spacing w:before="240"/>
      </w:pPr>
      <w:r>
        <w:t xml:space="preserve">The PR curve is better suited for imbalanced data sets because it is not concerned with negative class predictions i.e. the majority class. </w:t>
      </w:r>
      <w:r w:rsidR="00791EC2">
        <w:t>As with the ROC curve, t</w:t>
      </w:r>
      <w:r w:rsidR="009305C1">
        <w:t>he area under the PR curve</w:t>
      </w:r>
      <w:r w:rsidR="00BE7B24">
        <w:t xml:space="preserve"> </w:t>
      </w:r>
      <w:r w:rsidR="009305C1">
        <w:t>summarizes the curve into a single metric</w:t>
      </w:r>
      <w:r w:rsidR="00BE7B24">
        <w:t>, which we</w:t>
      </w:r>
      <w:r w:rsidR="009305C1">
        <w:t xml:space="preserve"> use to select the best hyperparameter values</w:t>
      </w:r>
      <w:r w:rsidR="00503986">
        <w:t xml:space="preserve"> during cross-validation</w:t>
      </w:r>
      <w:r w:rsidR="009305C1">
        <w:t xml:space="preserve">. In the test set, </w:t>
      </w:r>
      <w:r w:rsidR="00EE439B">
        <w:t xml:space="preserve">we will evaluate the model </w:t>
      </w:r>
      <w:r w:rsidR="00062DBF">
        <w:t>along</w:t>
      </w:r>
      <w:r w:rsidR="00EE439B">
        <w:t xml:space="preserve"> three performance metrics: 1) balanced accuracy, 2) recall, and 3) precision. Balanced accuracy is defined as the</w:t>
      </w:r>
      <w:r w:rsidR="003E6672">
        <w:t xml:space="preserve"> </w:t>
      </w:r>
      <w:r w:rsidR="003E6672" w:rsidRPr="003E6672">
        <w:t>average accuracy on either class</w:t>
      </w:r>
      <w:r w:rsidR="003E6672">
        <w:t xml:space="preserve"> or in other words the </w:t>
      </w:r>
      <w:r w:rsidR="00EE439B">
        <w:t xml:space="preserve">arithmetic </w:t>
      </w:r>
      <w:proofErr w:type="gramStart"/>
      <w:r w:rsidR="00EE439B">
        <w:t>mean</w:t>
      </w:r>
      <w:proofErr w:type="gramEnd"/>
      <w:r w:rsidR="00EE439B">
        <w:t xml:space="preserve"> of the sensitivity and specificity</w:t>
      </w:r>
      <w:r w:rsidR="003E6672">
        <w:t xml:space="preserve">. </w:t>
      </w:r>
      <w:r w:rsidR="000F6D02">
        <w:t xml:space="preserve">For a naïve model that always predicts the majority class the sensitivity is 0, the specificity is 1, and so </w:t>
      </w:r>
      <w:r w:rsidR="000F6D02">
        <w:lastRenderedPageBreak/>
        <w:t xml:space="preserve">the balanced accuracy is 0.5. This serves as a </w:t>
      </w:r>
      <w:r w:rsidR="00503986">
        <w:t>benchmark</w:t>
      </w:r>
      <w:r w:rsidR="000F6D02">
        <w:t xml:space="preserve"> for good model performance. Recall and precision </w:t>
      </w:r>
      <w:r w:rsidR="00503986">
        <w:t xml:space="preserve">are </w:t>
      </w:r>
      <w:r w:rsidR="000F6D02">
        <w:t xml:space="preserve">of interest because of the high-cost of </w:t>
      </w:r>
      <w:r w:rsidR="00503986">
        <w:t xml:space="preserve">not only </w:t>
      </w:r>
      <w:r w:rsidR="000F6D02">
        <w:t xml:space="preserve">temperature-related health hazards </w:t>
      </w:r>
      <w:r w:rsidR="00503986">
        <w:t xml:space="preserve">but also </w:t>
      </w:r>
      <w:r w:rsidR="000F6D02">
        <w:t>preventive measures.</w:t>
      </w:r>
      <w:r w:rsidR="009305C1">
        <w:t xml:space="preserve"> </w:t>
      </w:r>
    </w:p>
    <w:p w14:paraId="1579F0D7" w14:textId="77777777" w:rsidR="00503986" w:rsidRDefault="00503986" w:rsidP="006E4BA2">
      <w:pPr>
        <w:spacing w:before="240"/>
      </w:pPr>
    </w:p>
    <w:p w14:paraId="18A8A748" w14:textId="38DE6042" w:rsidR="00503986" w:rsidRDefault="00062DBF" w:rsidP="006E4BA2">
      <w:pPr>
        <w:spacing w:before="240"/>
      </w:pPr>
      <w:r>
        <w:t>For statistical analysis, we will use a paired</w:t>
      </w:r>
      <w:r w:rsidR="00503986">
        <w:t xml:space="preserve"> t-test by bootstrap iteration i.e. the same training and test data split to compare models trained with different groups of input features. For results with statistical significance, p &lt; 0.05, we will use Cohen’s d to quantify the effect size. </w:t>
      </w:r>
      <w:r w:rsidR="00503986">
        <w:t xml:space="preserve">We </w:t>
      </w:r>
      <w:r w:rsidR="00503986">
        <w:t xml:space="preserve">will interpret </w:t>
      </w:r>
      <w:r w:rsidR="00503986">
        <w:t xml:space="preserve">Cohen’s d as follows:  0.4 </w:t>
      </w:r>
      <w:r w:rsidR="00503986">
        <w:rPr>
          <w:u w:val="single"/>
        </w:rPr>
        <w:t>&lt;</w:t>
      </w:r>
      <w:r w:rsidR="00503986">
        <w:t xml:space="preserve"> |d| &lt; 1.15 for recommended minimum practical effect, 1.15 &lt; |d| &lt; 2.70 for moderate effect, and |d| &gt; 2.70 for strong effect </w:t>
      </w:r>
      <w:r w:rsidR="00503986">
        <w:fldChar w:fldCharType="begin"/>
      </w:r>
      <w:r w:rsidR="00503986">
        <w:instrText xml:space="preserve"> ADDIN ZOTERO_ITEM CSL_CITATION {"citationID":"4EcBOXD7","properties":{"formattedCitation":"(Ferguson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503986">
        <w:fldChar w:fldCharType="separate"/>
      </w:r>
      <w:r w:rsidR="00503986">
        <w:rPr>
          <w:noProof/>
        </w:rPr>
        <w:t>(Ferguson 2009)</w:t>
      </w:r>
      <w:r w:rsidR="00503986">
        <w:fldChar w:fldCharType="end"/>
      </w:r>
      <w:r w:rsidR="00503986">
        <w:t>.</w:t>
      </w:r>
      <w:r w:rsidR="00503986">
        <w:t xml:space="preserve"> </w:t>
      </w:r>
    </w:p>
    <w:p w14:paraId="39CB9080" w14:textId="02191E36" w:rsidR="00D46F7C" w:rsidRDefault="008F3A22" w:rsidP="006E4BA2">
      <w:pPr>
        <w:spacing w:before="240"/>
      </w:pPr>
      <w:r>
        <w:t xml:space="preserve">We used the statistical software R </w:t>
      </w:r>
      <w:r>
        <w:fldChar w:fldCharType="begin"/>
      </w:r>
      <w:r>
        <w:instrText xml:space="preserve"> ADDIN ZOTERO_ITEM CSL_CITATION {"citationID":"mbIjNnS7","properties":{"formattedCitation":"(R Core Team 2022)","plainCitation":"(R Core Team 2022)","noteIndex":0},"citationItems":[{"id":1700,"uris":["http://zotero.org/users/4259226/items/2PLS8G32"],"itemData":{"id":1700,"type":"software","event-place":"Vienna, Austria","publisher":"R Foundation for Statistical Computing","publisher-place":"Vienna, Austria","title":"R: A Language and Environment for Statistical Computing","URL":"https://www.R-project.org/","version":"4.2.2","author":[{"family":"R Core Team","given":""}],"issued":{"date-parts":[["2022",10,31]]}}}],"schema":"https://github.com/citation-style-language/schema/raw/master/csl-citation.json"} </w:instrText>
      </w:r>
      <w:r>
        <w:fldChar w:fldCharType="separate"/>
      </w:r>
      <w:r>
        <w:t>(R Core Team 2022)</w:t>
      </w:r>
      <w:r>
        <w:fldChar w:fldCharType="end"/>
      </w:r>
      <w:r>
        <w:t xml:space="preserve"> and its associated integrated development environment RStudio </w:t>
      </w:r>
      <w:r>
        <w:fldChar w:fldCharType="begin"/>
      </w:r>
      <w:r>
        <w:instrText xml:space="preserve"> ADDIN ZOTERO_ITEM CSL_CITATION {"citationID":"wHBpPQDN","properties":{"formattedCitation":"(RStudio Team 2021)","plainCitation":"(RStudio Team 2021)","noteIndex":0},"citationItems":[{"id":90,"uris":["http://zotero.org/users/4259226/items/ISYQ37UX",["http://zotero.org/users/4259226/items/ISYQ37UX"]],"itemData":{"id":90,"type":"software","event-place":"Boston, MA","publisher":"RStudio, PBC","publisher-place":"Boston, MA","title":"RStudio: Integrated Development Environment for R","URL":"http://www.rstudio.com/","version":"1.4.1717","author":[{"family":"RStudio Team","given":""}],"issued":{"date-parts":[["2021"]]}}}],"schema":"https://github.com/citation-style-language/schema/raw/master/csl-citation.json"} </w:instrText>
      </w:r>
      <w:r>
        <w:fldChar w:fldCharType="separate"/>
      </w:r>
      <w:r w:rsidRPr="00590F99">
        <w:t>(RStudio Team 2021)</w:t>
      </w:r>
      <w:r>
        <w:fldChar w:fldCharType="end"/>
      </w:r>
      <w:r>
        <w:t xml:space="preserve"> to build and analyze all machine learning models. In particular, we used the </w:t>
      </w:r>
      <w:proofErr w:type="spellStart"/>
      <w:r>
        <w:t>tidyverse</w:t>
      </w:r>
      <w:proofErr w:type="spellEnd"/>
      <w:r>
        <w:t xml:space="preserve"> package </w:t>
      </w:r>
      <w:r>
        <w:fldChar w:fldCharType="begin"/>
      </w:r>
      <w:r>
        <w:instrText xml:space="preserve"> ADDIN ZOTERO_ITEM CSL_CITATION {"citationID":"rfubzsGg","properties":{"formattedCitation":"(Wickham and RStudio 2023)","plainCitation":"(Wickham and RStudio 2023)","noteIndex":0},"citationItems":[{"id":1702,"uris":["http://zotero.org/users/4259226/items/8ER7TUWW"],"itemData":{"id":1702,"type":"software","abstract":"The 'tidyverse' is a set of packages that work in harmony because they share common data representations and 'API' design. This package is designed to make it easy to install and load multiple 'tidyverse' packages in a single step. Learn more about the 'tidyverse' at &lt;https://www.tidyverse.org&gt;.","genre":"R","license":"MIT + file LICENSE","source":"R-Packages","title":"tidyverse: Easily Install and Load the 'Tidyverse'","title-short":"tidyverse","URL":"https://CRAN.R-project.org/package=tidyverse","version":"2.0.0","author":[{"family":"Wickham","given":"Hadley"},{"family":"RStudio","given":""}],"accessed":{"date-parts":[["2021",7,12]]},"issued":{"date-parts":[["2023",2,22]]}}}],"schema":"https://github.com/citation-style-language/schema/raw/master/csl-citation.json"} </w:instrText>
      </w:r>
      <w:r>
        <w:fldChar w:fldCharType="separate"/>
      </w:r>
      <w:r>
        <w:t>(Wickham and RStudio 2023)</w:t>
      </w:r>
      <w:r>
        <w:fldChar w:fldCharType="end"/>
      </w:r>
      <w:r>
        <w:t xml:space="preserve"> for reading, manipulating, and visualizing data and the caret package </w:t>
      </w:r>
      <w:r>
        <w:fldChar w:fldCharType="begin"/>
      </w:r>
      <w:r>
        <w:instrText xml:space="preserve"> ADDIN ZOTERO_ITEM CSL_CITATION {"citationID":"UBcbWZRW","properties":{"formattedCitation":"(Kuhn et al. 2023)","plainCitation":"(Kuhn et al. 2023)","noteIndex":0},"citationItems":[{"id":1699,"uris":["http://zotero.org/users/4259226/items/L4Q6W4XM"],"itemData":{"id":1699,"type":"software","abstract":"Misc functions for training and plotting classification and regression models.","license":"GPL-2 | GPL-3 [expanded from: GPL (≥ 2)]","source":"R-Packages","title":"caret: Classification and Regression Training","title-short":"caret","URL":"https://cran.r-project.org/web/packages/caret/index.html","version":"6.0-94","author":[{"family":"Kuhn","given":"Max"},{"family":"Weston","given":"Steve"},{"family":"Williams","given":"Andre"},{"family":"Keefer","given":"Chris"},{"family":"Engelhardt","given":"Allan"},{"family":"Cooper","given":"Tony"},{"family":"Mayer","given":"Zachary"},{"family":"Kenkel","given":"Brenton"},{"family":"R Core Team","given":""},{"family":"Benesty","given":"Michael"},{"family":"Lescarbeau","given":"Reynald"},{"family":"Ziem","given":"Andrew"},{"family":"Scrucca","given":"Luca"},{"family":"Tang","given":"Yuan"},{"family":"Candan","given":"Can"},{"family":"Hunt","given":"Tyler"}],"accessed":{"date-parts":[["2023",11,23]]},"issued":{"date-parts":[["2023",3,21]]}}}],"schema":"https://github.com/citation-style-language/schema/raw/master/csl-citation.json"} </w:instrText>
      </w:r>
      <w:r>
        <w:fldChar w:fldCharType="separate"/>
      </w:r>
      <w:r>
        <w:rPr>
          <w:noProof/>
        </w:rPr>
        <w:t>(Kuhn et al. 2023)</w:t>
      </w:r>
      <w:r>
        <w:fldChar w:fldCharType="end"/>
      </w:r>
      <w:r>
        <w:t xml:space="preserve"> as a wrapper to conduct data pre-processing, resampling, and cross-validation as well as interface with the different machine learning algorithms. </w:t>
      </w:r>
      <w:r>
        <w:fldChar w:fldCharType="begin" w:fldLock="1"/>
      </w:r>
      <w:r>
        <w:instrText xml:space="preserve"> REF _Ref78750459 \h </w:instrText>
      </w:r>
      <w:r>
        <w:fldChar w:fldCharType="separate"/>
      </w:r>
      <w:r>
        <w:fldChar w:fldCharType="end"/>
      </w:r>
      <w:r>
        <w:t xml:space="preserve"> </w:t>
      </w:r>
    </w:p>
    <w:p w14:paraId="43DE9799" w14:textId="34BAD923" w:rsidR="00CB56CD" w:rsidRDefault="00850ADA" w:rsidP="00CB56CD">
      <w:pPr>
        <w:pStyle w:val="Heading1List"/>
      </w:pPr>
      <w:r>
        <w:t>Results</w:t>
      </w:r>
    </w:p>
    <w:p w14:paraId="3B571105" w14:textId="6B8CC750" w:rsidR="00F305DE" w:rsidRDefault="00C5281C" w:rsidP="00F305DE">
      <w:pPr>
        <w:pStyle w:val="Heading2List"/>
      </w:pPr>
      <w:r>
        <w:t>Prevalence of temperature-related morbidity in population</w:t>
      </w:r>
    </w:p>
    <w:p w14:paraId="57D66BFC" w14:textId="4D2C7566" w:rsidR="005B5AD3" w:rsidRDefault="00B12A97" w:rsidP="00DC446E">
      <w:r>
        <w:t>First</w:t>
      </w:r>
      <w:r w:rsidR="006E3111">
        <w:t>, we estimated the prevalence of temperature-related morbidity in U.S. households.</w:t>
      </w:r>
      <w:r w:rsidR="003118E4">
        <w:t xml:space="preserve"> </w:t>
      </w:r>
      <w:r w:rsidR="00DC446E">
        <w:fldChar w:fldCharType="begin"/>
      </w:r>
      <w:r w:rsidR="00DC446E">
        <w:instrText xml:space="preserve"> REF _Ref151995135 \h </w:instrText>
      </w:r>
      <w:r w:rsidR="00DC446E">
        <w:fldChar w:fldCharType="separate"/>
      </w:r>
      <w:r w:rsidR="00DC446E">
        <w:t xml:space="preserve">Figure </w:t>
      </w:r>
      <w:r w:rsidR="00DC446E">
        <w:rPr>
          <w:noProof/>
        </w:rPr>
        <w:t>1</w:t>
      </w:r>
      <w:r w:rsidR="00DC446E">
        <w:fldChar w:fldCharType="end"/>
      </w:r>
      <w:r w:rsidR="00DC446E">
        <w:t xml:space="preserve"> </w:t>
      </w:r>
      <w:r w:rsidR="0035210F">
        <w:t>compares the estimated number of households affected by heat-related, cold-related, or any temperature-related morbidity</w:t>
      </w:r>
      <w:r w:rsidR="00DC446E">
        <w:t xml:space="preserve"> in 2015 and 2020</w:t>
      </w:r>
      <w:r w:rsidR="0035210F">
        <w:t xml:space="preserve">. </w:t>
      </w:r>
      <w:r w:rsidR="000A728F">
        <w:t>Like</w:t>
      </w:r>
      <w:r w:rsidR="003118E4">
        <w:t xml:space="preserve"> the global and national trends discussed in Section </w:t>
      </w:r>
      <w:r w:rsidR="003118E4">
        <w:fldChar w:fldCharType="begin"/>
      </w:r>
      <w:r w:rsidR="003118E4">
        <w:instrText xml:space="preserve"> REF _Ref151832870 \r \h </w:instrText>
      </w:r>
      <w:r w:rsidR="003118E4">
        <w:fldChar w:fldCharType="separate"/>
      </w:r>
      <w:r w:rsidR="003118E4">
        <w:t>1.1</w:t>
      </w:r>
      <w:r w:rsidR="003118E4">
        <w:fldChar w:fldCharType="end"/>
      </w:r>
      <w:r w:rsidR="003118E4">
        <w:t>,</w:t>
      </w:r>
      <w:r w:rsidR="000A728F">
        <w:t xml:space="preserve"> </w:t>
      </w:r>
      <w:r w:rsidR="0061373A">
        <w:t xml:space="preserve">we </w:t>
      </w:r>
      <w:r>
        <w:t>f</w:t>
      </w:r>
      <w:r w:rsidR="00423555">
        <w:t>ind</w:t>
      </w:r>
      <w:r w:rsidR="0061373A">
        <w:t xml:space="preserve"> that cold-related </w:t>
      </w:r>
      <w:r w:rsidR="00D30AB4">
        <w:t xml:space="preserve">hazards </w:t>
      </w:r>
      <w:r>
        <w:t>were</w:t>
      </w:r>
      <w:r w:rsidR="00D30AB4">
        <w:t xml:space="preserve"> more</w:t>
      </w:r>
      <w:r w:rsidR="0061373A">
        <w:t xml:space="preserve"> prevalent than heat-related</w:t>
      </w:r>
      <w:r w:rsidR="00D30AB4">
        <w:t xml:space="preserve"> ones</w:t>
      </w:r>
      <w:r w:rsidR="0061373A">
        <w:t xml:space="preserve">. While overall the number of households with any temperature-related morbidity represents less than 1% of the total population, </w:t>
      </w:r>
      <w:r>
        <w:t xml:space="preserve">this </w:t>
      </w:r>
      <w:r w:rsidR="00DC446E">
        <w:t>still means that</w:t>
      </w:r>
      <w:r>
        <w:t xml:space="preserve"> nearly</w:t>
      </w:r>
      <w:r w:rsidR="0061373A">
        <w:t xml:space="preserve"> 2 million households are impacted annually</w:t>
      </w:r>
      <w:r w:rsidR="00FB5078">
        <w:t xml:space="preserve"> in the United States</w:t>
      </w:r>
      <w:r w:rsidR="0061373A">
        <w:t>.</w:t>
      </w:r>
      <w:bookmarkStart w:id="7" w:name="_Ref151828826"/>
      <w:r w:rsidR="00DC446E">
        <w:t xml:space="preserve"> </w:t>
      </w:r>
      <w:r w:rsidR="00DC446E">
        <w:rPr>
          <w:noProof/>
        </w:rPr>
        <w:drawing>
          <wp:inline distT="0" distB="0" distL="0" distR="0" wp14:anchorId="1FD3D6D4" wp14:editId="71109D59">
            <wp:extent cx="5943600" cy="2400300"/>
            <wp:effectExtent l="0" t="0" r="0" b="0"/>
            <wp:docPr id="1921670674" name="Picture 15" descr="A graph of numbers and a number of households affected by the number of househol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0674" name="Picture 15" descr="A graph of numbers and a number of households affected by the number of household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1CF518B3" w14:textId="5B802C04" w:rsidR="00D30AB4" w:rsidRDefault="005B5AD3" w:rsidP="00D30AB4">
      <w:pPr>
        <w:pStyle w:val="Figurecaption"/>
      </w:pPr>
      <w:bookmarkStart w:id="8" w:name="_Ref151995135"/>
      <w:r>
        <w:t xml:space="preserve">Figure </w:t>
      </w:r>
      <w:r>
        <w:fldChar w:fldCharType="begin"/>
      </w:r>
      <w:r>
        <w:instrText xml:space="preserve"> SEQ Figure \* ARABIC </w:instrText>
      </w:r>
      <w:r>
        <w:fldChar w:fldCharType="separate"/>
      </w:r>
      <w:r w:rsidR="00A21CA9">
        <w:rPr>
          <w:noProof/>
        </w:rPr>
        <w:t>1</w:t>
      </w:r>
      <w:r>
        <w:fldChar w:fldCharType="end"/>
      </w:r>
      <w:bookmarkEnd w:id="7"/>
      <w:bookmarkEnd w:id="8"/>
      <w:r>
        <w:t xml:space="preserve">: </w:t>
      </w:r>
      <w:r w:rsidR="0035210F">
        <w:t xml:space="preserve">Prevalence of temperature-related morbidity in U.S. households based on the 2015 and 2020 Residential Energy Consumption Survey conducted by the U.S. Energy Information Administration. </w:t>
      </w:r>
      <w:r w:rsidR="00D30AB4">
        <w:t>We calculated p</w:t>
      </w:r>
      <w:r w:rsidR="003118E4">
        <w:t xml:space="preserve">opulation estimates and standard errors </w:t>
      </w:r>
      <w:r w:rsidR="00D30AB4">
        <w:t xml:space="preserve">from sample weights and replicate weights </w:t>
      </w:r>
      <w:r w:rsidR="003118E4">
        <w:t>as recommended by the EIA</w:t>
      </w:r>
      <w:r w:rsidR="0035210F">
        <w:t xml:space="preserve"> </w:t>
      </w:r>
      <w:r w:rsidR="0035210F">
        <w:fldChar w:fldCharType="begin"/>
      </w:r>
      <w:r w:rsidR="000267BE">
        <w:instrText xml:space="preserve"> ADDIN ZOTERO_ITEM CSL_CITATION {"citationID":"zfu9IrLt","properties":{"formattedCitation":"(EIA 2019; 2023)","plainCitation":"(EIA 2019; 2023)","noteIndex":0},"citationItems":[{"id":1710,"uris":["http://zotero.org/users/4259226/items/IQD8HQCA"],"itemData":{"id":1710,"type":"report","event-place":"Washington, D.C.","language":"en","publisher":"U.S. Energy Information Administration","publisher-place":"Washington, D.C.","source":"Zotero","title":"Residential Energy Consumption Survey (RECS): Using the 2015 microdata file to compute estimates and standard errors (RSEs)","URL":"https://www.eia.gov/consumption/residential/data/2015/pdf/microdata_v3.pdf","author":[{"family":"EIA","given":""}],"issued":{"date-parts":[["2019",2]]}}},{"id":1712,"uris":["http://zotero.org/users/4259226/items/2INLFRKH"],"itemData":{"id":1712,"type":"report","event-place":"Washington, D.C.","language":"en","publisher":"U.S. Energy Information Administration","publisher-place":"Washington, D.C.","source":"Zotero","title":"2020 Residential Energy Consumption Survey: Using the microdata file to compute estimates and relative standard errors (RSEs)","URL":"https://www.eia.gov/consumption/residential/data/2020/pdf/microdata-guide.pdf","author":[{"family":"EIA","given":""}],"issued":{"date-parts":[["2023",6]]}}}],"schema":"https://github.com/citation-style-language/schema/raw/master/csl-citation.json"} </w:instrText>
      </w:r>
      <w:r w:rsidR="0035210F">
        <w:fldChar w:fldCharType="separate"/>
      </w:r>
      <w:r w:rsidR="0035210F">
        <w:rPr>
          <w:noProof/>
        </w:rPr>
        <w:t>(EIA 2019; 2023)</w:t>
      </w:r>
      <w:r w:rsidR="0035210F">
        <w:fldChar w:fldCharType="end"/>
      </w:r>
      <w:r w:rsidR="0035210F">
        <w:t>. Error bars represent</w:t>
      </w:r>
      <w:r w:rsidR="00DF19AF">
        <w:t xml:space="preserve"> the</w:t>
      </w:r>
      <w:r w:rsidR="0035210F">
        <w:t xml:space="preserve"> 95% </w:t>
      </w:r>
      <w:r w:rsidR="000A728F">
        <w:t>confidence interval.</w:t>
      </w:r>
    </w:p>
    <w:p w14:paraId="7163F867" w14:textId="414D71ED" w:rsidR="00C5281C" w:rsidRDefault="006A64D0" w:rsidP="00D30AB4">
      <w:pPr>
        <w:pStyle w:val="Heading2List"/>
      </w:pPr>
      <w:r>
        <w:lastRenderedPageBreak/>
        <w:t>Predicting temperature-related morbidity</w:t>
      </w:r>
    </w:p>
    <w:p w14:paraId="568B981E" w14:textId="77470532" w:rsidR="009F36C7" w:rsidRDefault="00D30AB4" w:rsidP="00D30AB4">
      <w:r>
        <w:t>We next constructed machine learning models to predict temperature-related morbidity.</w:t>
      </w:r>
      <w:r w:rsidR="00E55F7D">
        <w:t xml:space="preserve"> </w:t>
      </w:r>
      <w:r w:rsidR="00E55F7D">
        <w:fldChar w:fldCharType="begin"/>
      </w:r>
      <w:r w:rsidR="00E55F7D">
        <w:instrText xml:space="preserve"> REF _Ref151995138 \h </w:instrText>
      </w:r>
      <w:r w:rsidR="00E55F7D">
        <w:fldChar w:fldCharType="separate"/>
      </w:r>
      <w:r w:rsidR="00E55F7D">
        <w:t xml:space="preserve">Figure </w:t>
      </w:r>
      <w:r w:rsidR="00E55F7D">
        <w:rPr>
          <w:noProof/>
        </w:rPr>
        <w:t>2</w:t>
      </w:r>
      <w:r w:rsidR="00E55F7D">
        <w:fldChar w:fldCharType="end"/>
      </w:r>
      <w:r w:rsidR="00E55F7D">
        <w:t xml:space="preserve">a) </w:t>
      </w:r>
      <w:r w:rsidR="00DF19AF">
        <w:t xml:space="preserve">shows the performance of all model iterations </w:t>
      </w:r>
      <w:r w:rsidR="009F36C7">
        <w:t>along</w:t>
      </w:r>
      <w:r w:rsidR="00DF19AF">
        <w:t xml:space="preserve"> three performance metrics: balanced accuracy, recall, and precision. Each bar represents machine learning models trained from the same set of input features, class imbalance scheme, and</w:t>
      </w:r>
      <w:r w:rsidR="00B218E7">
        <w:t xml:space="preserve"> machine learning</w:t>
      </w:r>
      <w:r w:rsidR="00DF19AF">
        <w:t xml:space="preserve"> algorithm, a total of 80 models. The error bars represent the 95% confidence interval, which we calculated from 30 bootstrapped sample iterations, each with a different training and test data split. </w:t>
      </w:r>
      <w:r w:rsidR="009F36C7">
        <w:t>Generally, about half of the machine learning models performed better than a naïve model. Many of the poor performing models did not converge during model training. For well-performing models, the balanced accuracy and recall range from 70 to 8</w:t>
      </w:r>
      <w:r w:rsidR="00DC446E">
        <w:t>5</w:t>
      </w:r>
      <w:r w:rsidR="009F36C7">
        <w:t xml:space="preserve">%. </w:t>
      </w:r>
      <w:r w:rsidR="00DC446E">
        <w:t>In comparison, t</w:t>
      </w:r>
      <w:r w:rsidR="009F36C7">
        <w:t>he model precision is quite low, around 5</w:t>
      </w:r>
      <w:r w:rsidR="000A4220">
        <w:t xml:space="preserve">%. This means that the models produce many false positives – households that we incorrectly predicted would have temperature-related morbidity. </w:t>
      </w:r>
    </w:p>
    <w:p w14:paraId="2648F60F" w14:textId="4546909D" w:rsidR="00B218E7" w:rsidRDefault="00DF19AF" w:rsidP="000A4220">
      <w:r>
        <w:t xml:space="preserve">Figure 2b) compares the best model performance </w:t>
      </w:r>
      <w:r w:rsidR="000A4220">
        <w:t>from each input group.</w:t>
      </w:r>
      <w:r w:rsidR="00DC446E">
        <w:t xml:space="preserve"> For the Climate + Demographics model the best machine learning algorithm was penalized discriminant analysis with SMOTE sub-sampling. For the + Buildings model, the best machine learning algorithm was stochastic gradient boosting with up-sampling.</w:t>
      </w:r>
      <w:r w:rsidR="000A4220">
        <w:t xml:space="preserve"> W</w:t>
      </w:r>
      <w:r w:rsidR="00B218E7">
        <w:t xml:space="preserve">e find a 13% increase in balanced accuracy, 15% increase in recall, and 3% increase in precision. These results are statistically significant with a p &lt; 0.001 and have a moderate to strong effect size. </w:t>
      </w:r>
    </w:p>
    <w:p w14:paraId="4B740EA0" w14:textId="52B8B364" w:rsidR="009F36C7" w:rsidRDefault="000A4220" w:rsidP="009F36C7">
      <w:r>
        <w:t xml:space="preserve">Figure 2c) compares the </w:t>
      </w:r>
      <w:r w:rsidR="000906F0">
        <w:t xml:space="preserve">magnitude of </w:t>
      </w:r>
      <w:r>
        <w:t xml:space="preserve">variable coefficients </w:t>
      </w:r>
      <w:r w:rsidR="00DC446E">
        <w:t>for</w:t>
      </w:r>
      <w:r>
        <w:t xml:space="preserve"> the best regression model from each input group</w:t>
      </w:r>
      <w:r w:rsidR="0081394D">
        <w:t xml:space="preserve">. </w:t>
      </w:r>
      <w:bookmarkStart w:id="9" w:name="_Ref151995138"/>
      <w:r w:rsidR="0081394D">
        <w:t>Regression models</w:t>
      </w:r>
      <w:r>
        <w:t xml:space="preserve"> allow </w:t>
      </w:r>
      <w:r w:rsidR="0081394D">
        <w:t>for clearer interpretability of variable contributions, so even though this is not the best performing model for either input features group, its performance is within the 95% confidence interval</w:t>
      </w:r>
      <w:r>
        <w:t xml:space="preserve">. </w:t>
      </w:r>
      <w:r w:rsidR="001A1287">
        <w:t xml:space="preserve">For both input feature groups, the best regression model happens </w:t>
      </w:r>
      <w:r w:rsidR="00946505">
        <w:t xml:space="preserve">to be </w:t>
      </w:r>
      <w:r w:rsidR="00DC446E">
        <w:t>penalized multinomial regression</w:t>
      </w:r>
      <w:r w:rsidR="00946505">
        <w:fldChar w:fldCharType="begin"/>
      </w:r>
      <w:r w:rsidR="00946505">
        <w:instrText xml:space="preserve"> ADDIN ZOTERO_ITEM CSL_CITATION {"citationID":"2YwRokJM","properties":{"formattedCitation":"(Nibbering and Hastie 2022)","plainCitation":"(Nibbering and Hastie 2022)","noteIndex":0},"citationItems":[{"id":1727,"uris":["http://zotero.org/users/4259226/items/C7VG4PUH"],"itemData":{"id":1727,"type":"article-journal","abstract":"A multinomial logistic regression model that penalizes the number of class-specific parameters is proposed. The number of parameters in a standard multinomial regression model increases linearly with the number of classes and number of explanatory variables. The multiclass-penalized regression model clusters parameters together by penalizing the differences between class-specific parameter vectors, instead of penalizing the number of explanatory variables. The model provides interpretable parameter estimates, even in settings with many classes. An algorithm for maximum likelihood estimation in the multiclass-penalized regression model is discussed. Applications to simulated and real data show in- and out-of-sample improvements in performance relative to a standard multinomial regression model.","container-title":"Computational Statistics &amp; Data Analysis","DOI":"10.1016/j.csda.2021.107414","ISSN":"0167-9473","journalAbbreviation":"Computational Statistics &amp; Data Analysis","page":"107414","source":"ScienceDirect","title":"Multiclass-penalized logistic regression","URL":"https://www.sciencedirect.com/science/article/pii/S0167947321002486","volume":"169","author":[{"family":"Nibbering","given":"Didier"},{"family":"Hastie","given":"Trevor J."}],"accessed":{"date-parts":[["2023",12,1]]},"issued":{"date-parts":[["2022",5,1]]}}}],"schema":"https://github.com/citation-style-language/schema/raw/master/csl-citation.json"} </w:instrText>
      </w:r>
      <w:r w:rsidR="00946505">
        <w:fldChar w:fldCharType="separate"/>
      </w:r>
      <w:r w:rsidR="00946505">
        <w:rPr>
          <w:noProof/>
        </w:rPr>
        <w:t>(</w:t>
      </w:r>
      <w:proofErr w:type="spellStart"/>
      <w:r w:rsidR="00946505">
        <w:rPr>
          <w:noProof/>
        </w:rPr>
        <w:t>Nibbering</w:t>
      </w:r>
      <w:proofErr w:type="spellEnd"/>
      <w:r w:rsidR="00946505">
        <w:rPr>
          <w:noProof/>
        </w:rPr>
        <w:t xml:space="preserve"> and Hastie 2022)</w:t>
      </w:r>
      <w:r w:rsidR="00946505">
        <w:fldChar w:fldCharType="end"/>
      </w:r>
      <w:r w:rsidR="00DC446E">
        <w:t xml:space="preserve">. This model </w:t>
      </w:r>
      <w:r w:rsidR="00946505">
        <w:t>type performs regularization, i.e. aims to reduce the number of input features</w:t>
      </w:r>
      <w:r w:rsidR="0081394D">
        <w:t xml:space="preserve"> by forcing</w:t>
      </w:r>
      <w:r w:rsidR="000906F0">
        <w:t xml:space="preserve"> coefficients of insignificant variables to</w:t>
      </w:r>
      <w:r w:rsidR="0081394D">
        <w:t>wards</w:t>
      </w:r>
      <w:r w:rsidR="000906F0">
        <w:t xml:space="preserve"> 0. </w:t>
      </w:r>
      <w:r w:rsidR="00C6465B">
        <w:t xml:space="preserve"> </w:t>
      </w:r>
      <w:r w:rsidR="00C6465B">
        <w:t>For the Climate + Demographics input features group the best multinomial model used SMOTE sub-sampling and that of the best + Buildings input features group used ROSE sub-sampling.</w:t>
      </w:r>
      <w:r w:rsidR="00C6465B">
        <w:t xml:space="preserve"> </w:t>
      </w:r>
      <w:r w:rsidR="00C6465B">
        <w:t xml:space="preserve">The error bars represent the 95% confidence interval, which we calculated from 30 bootstrapped sample iterations, each with a different training and test data split. </w:t>
      </w:r>
      <w:r w:rsidR="00C6465B">
        <w:t xml:space="preserve">We greyed out points where the 95% confidence interval included 0. Variable names that are crossed out were eliminated during pre-processing due to zero or near-zero variance. </w:t>
      </w:r>
      <w:r w:rsidR="000906F0">
        <w:t xml:space="preserve">We find that in the Climate + Demographics model, the variables with the largest </w:t>
      </w:r>
      <w:r w:rsidR="0081394D">
        <w:t>magnitude</w:t>
      </w:r>
      <w:r w:rsidR="000906F0">
        <w:t xml:space="preserve"> are (in decreasing order): poverty, </w:t>
      </w:r>
      <w:r w:rsidR="00F85D9E">
        <w:t>non-white</w:t>
      </w:r>
      <w:r w:rsidR="00823CA8">
        <w:t>, renting, employment, and older than 65, and lives alone. For the + Buildings model, the variables with</w:t>
      </w:r>
      <w:r w:rsidR="0081394D">
        <w:t xml:space="preserve"> the largest magnitude are (in decreasing order): energy insecurity, non-white, poverty, infiltration, and renting, AC type, employment, and thermally massive roof.</w:t>
      </w:r>
      <w:r w:rsidR="00C6465B">
        <w:t xml:space="preserve"> What is most striking is the </w:t>
      </w:r>
      <w:r w:rsidR="009354D5">
        <w:t xml:space="preserve">high magnitude of the coefficient for energy insecurity, in comparison to that of any other variable. When comparing the input groups, we see that almost the model </w:t>
      </w:r>
      <w:r w:rsidR="00A21CA9">
        <w:t>selects</w:t>
      </w:r>
      <w:r w:rsidR="009354D5">
        <w:t xml:space="preserve"> almost the same demographics variables, however the magnitude of the coefficient is higher for the same variable in the Climate + Demographics model. </w:t>
      </w:r>
    </w:p>
    <w:p w14:paraId="7D4B5199" w14:textId="0DA02359" w:rsidR="00A21CA9" w:rsidRDefault="00A21CA9" w:rsidP="00A21CA9">
      <w:pPr>
        <w:pStyle w:val="Heading2List"/>
      </w:pPr>
      <w:r>
        <w:t>Machine learning modeling</w:t>
      </w:r>
    </w:p>
    <w:p w14:paraId="5ACBB3E5" w14:textId="04295608" w:rsidR="00A21CA9" w:rsidRDefault="00A21CA9" w:rsidP="00A21CA9">
      <w:r>
        <w:t xml:space="preserve">Finally, we review the impact of two key machine learning modeling parameters: the algorithm and the class imbalance handling scheme along two </w:t>
      </w:r>
      <w:r w:rsidR="00CF7BB2">
        <w:t xml:space="preserve">performance </w:t>
      </w:r>
      <w:r>
        <w:t xml:space="preserve">metrics: balanced accuracy as a </w:t>
      </w:r>
      <w:r w:rsidR="00CF7BB2">
        <w:t>proxy</w:t>
      </w:r>
      <w:r>
        <w:t xml:space="preserve"> </w:t>
      </w:r>
      <w:r w:rsidR="00CF7BB2">
        <w:t>for</w:t>
      </w:r>
      <w:r>
        <w:t xml:space="preserve"> model performance and computation time. </w:t>
      </w:r>
      <w:r w:rsidR="00CF7BB2">
        <w:fldChar w:fldCharType="begin"/>
      </w:r>
      <w:r w:rsidR="00CF7BB2">
        <w:instrText xml:space="preserve"> REF _Ref152430399 \h </w:instrText>
      </w:r>
      <w:r w:rsidR="00CF7BB2">
        <w:fldChar w:fldCharType="separate"/>
      </w:r>
      <w:r w:rsidR="00CF7BB2">
        <w:t xml:space="preserve">Figure </w:t>
      </w:r>
      <w:r w:rsidR="00CF7BB2">
        <w:rPr>
          <w:noProof/>
        </w:rPr>
        <w:t>3</w:t>
      </w:r>
      <w:r w:rsidR="00CF7BB2">
        <w:fldChar w:fldCharType="end"/>
      </w:r>
      <w:r w:rsidR="00CF7BB2">
        <w:t xml:space="preserve"> plots the interaction between the two machine learning modeling parameters and both performance metrics. </w:t>
      </w:r>
    </w:p>
    <w:p w14:paraId="2F8304A5" w14:textId="4E4216F3" w:rsidR="009F36C7" w:rsidRDefault="00CC3C31" w:rsidP="005B5AD3">
      <w:pPr>
        <w:pStyle w:val="Figurecaption"/>
      </w:pPr>
      <w:r>
        <w:rPr>
          <w:noProof/>
        </w:rPr>
        <w:lastRenderedPageBreak/>
        <w:drawing>
          <wp:inline distT="0" distB="0" distL="0" distR="0" wp14:anchorId="58775825" wp14:editId="7A6D7329">
            <wp:extent cx="5943600" cy="6858000"/>
            <wp:effectExtent l="0" t="0" r="0" b="0"/>
            <wp:docPr id="504220917" name="Picture 4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0917" name="Picture 46"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58000"/>
                    </a:xfrm>
                    <a:prstGeom prst="rect">
                      <a:avLst/>
                    </a:prstGeom>
                  </pic:spPr>
                </pic:pic>
              </a:graphicData>
            </a:graphic>
          </wp:inline>
        </w:drawing>
      </w:r>
    </w:p>
    <w:p w14:paraId="0D5BFB02" w14:textId="4E70090B" w:rsidR="00107E11" w:rsidRDefault="005B5AD3" w:rsidP="005B5AD3">
      <w:pPr>
        <w:pStyle w:val="Figurecaption"/>
      </w:pPr>
      <w:r>
        <w:t xml:space="preserve">Figure </w:t>
      </w:r>
      <w:r>
        <w:fldChar w:fldCharType="begin"/>
      </w:r>
      <w:r>
        <w:instrText xml:space="preserve"> SEQ Figure \* ARABIC </w:instrText>
      </w:r>
      <w:r>
        <w:fldChar w:fldCharType="separate"/>
      </w:r>
      <w:r w:rsidR="00A21CA9">
        <w:rPr>
          <w:noProof/>
        </w:rPr>
        <w:t>2</w:t>
      </w:r>
      <w:r>
        <w:fldChar w:fldCharType="end"/>
      </w:r>
      <w:bookmarkEnd w:id="9"/>
      <w:r>
        <w:t>:</w:t>
      </w:r>
      <w:r w:rsidR="00474A4F">
        <w:t xml:space="preserve"> a) </w:t>
      </w:r>
      <w:r w:rsidR="000267BE">
        <w:t>O</w:t>
      </w:r>
      <w:r w:rsidR="00474A4F">
        <w:t>verall machine learning model performance across all iterations</w:t>
      </w:r>
      <w:r w:rsidR="00D25629">
        <w:t xml:space="preserve"> along three metrics: </w:t>
      </w:r>
      <w:r w:rsidR="00D25629">
        <w:t>balanced accuracy, recall, and precision</w:t>
      </w:r>
      <w:r w:rsidR="00474A4F">
        <w:t>. Each</w:t>
      </w:r>
      <w:r w:rsidR="000267BE">
        <w:t xml:space="preserve"> bar</w:t>
      </w:r>
      <w:r w:rsidR="00474A4F">
        <w:t xml:space="preserve"> represents a machine learning model trained with the same input features, class imbalance handling scheme, and algorithm</w:t>
      </w:r>
      <w:r w:rsidR="000267BE">
        <w:t xml:space="preserve">. The error bars represent the 95% confidence interval calculated from 30 bootstrapped samples, each with a different training and test data split. b) </w:t>
      </w:r>
      <w:r w:rsidR="00EE332D">
        <w:t>S</w:t>
      </w:r>
      <w:r w:rsidR="000267BE">
        <w:t>hows the performance for the best machine learning model from each input features group. We calculated statistical significance using a paired t</w:t>
      </w:r>
      <w:r w:rsidR="00CA1E1E">
        <w:t>-</w:t>
      </w:r>
      <w:r w:rsidR="000267BE">
        <w:t xml:space="preserve">test </w:t>
      </w:r>
      <w:r w:rsidR="00D25629">
        <w:t xml:space="preserve">by bootstrap iteration i.e. </w:t>
      </w:r>
      <w:r w:rsidR="000267BE">
        <w:t>the same training and test data split</w:t>
      </w:r>
      <w:r w:rsidR="00D25629">
        <w:t>,</w:t>
      </w:r>
      <w:r w:rsidR="000267BE">
        <w:t xml:space="preserve"> and the effect size from Cohen’s d. We interpreted Cohen’s d as follows:  0.4 </w:t>
      </w:r>
      <w:r w:rsidR="000267BE">
        <w:rPr>
          <w:u w:val="single"/>
        </w:rPr>
        <w:t>&lt;</w:t>
      </w:r>
      <w:r w:rsidR="000267BE">
        <w:t xml:space="preserve"> |d| &lt; 1.15 for </w:t>
      </w:r>
      <w:r w:rsidR="000267BE">
        <w:t>recommended minimum practical effect</w:t>
      </w:r>
      <w:r w:rsidR="000267BE">
        <w:t xml:space="preserve">, 1.15 &lt; |d| &lt; 2.70 for moderate effect, and |d| &gt; 2.70 for strong effect </w:t>
      </w:r>
      <w:r w:rsidR="000267BE">
        <w:fldChar w:fldCharType="begin"/>
      </w:r>
      <w:r w:rsidR="00946505">
        <w:instrText xml:space="preserve"> ADDIN ZOTERO_ITEM CSL_CITATION {"citationID":"6b93GSVm","properties":{"formattedCitation":"(Ferguson 2009)","plainCitation":"(Ferguson 2009)","noteIndex":0},"citationItems":[{"id":89,"uris":["http://zotero.org/users/4259226/items/44LDCS23"],"itemData":{"id":89,"type":"article-journal","container-title":"Professional Psychology: Research and Practice","DOI":"10.1037/a0015808","ISSN":"1939-1323, 0735-7028","issue":"5","journalAbbreviation":"Professional Psychology: Research and Practice","language":"en","page":"532-538","source":"DOI.org (Crossref)","title":"An effect size primer: A guide for clinicians and researchers.","title-short":"An effect size primer","URL":"http://doi.apa.org/getdoi.cfm?doi=10.1037/a0015808","volume":"40","author":[{"family":"Ferguson","given":"Christopher J."}],"accessed":{"date-parts":[["2021",7,15]]},"issued":{"date-parts":[["2009",10]]}}}],"schema":"https://github.com/citation-style-language/schema/raw/master/csl-citation.json"} </w:instrText>
      </w:r>
      <w:r w:rsidR="000267BE">
        <w:fldChar w:fldCharType="separate"/>
      </w:r>
      <w:r w:rsidR="000267BE">
        <w:rPr>
          <w:noProof/>
        </w:rPr>
        <w:t>(Ferguson 2009)</w:t>
      </w:r>
      <w:r w:rsidR="000267BE">
        <w:fldChar w:fldCharType="end"/>
      </w:r>
      <w:r w:rsidR="006261C1">
        <w:t>.</w:t>
      </w:r>
      <w:r w:rsidR="00D25629">
        <w:t xml:space="preserve"> c) </w:t>
      </w:r>
      <w:r w:rsidR="00EE332D">
        <w:t>S</w:t>
      </w:r>
      <w:r w:rsidR="00D25629">
        <w:t xml:space="preserve">hows the variable contribution from the best regression </w:t>
      </w:r>
    </w:p>
    <w:p w14:paraId="57EF62AF" w14:textId="77777777" w:rsidR="00A21CA9" w:rsidRDefault="00A21CA9" w:rsidP="00A21CA9">
      <w:pPr>
        <w:pStyle w:val="Figurecaption"/>
        <w:keepNext/>
      </w:pPr>
      <w:r>
        <w:rPr>
          <w:noProof/>
        </w:rPr>
        <w:lastRenderedPageBreak/>
        <w:drawing>
          <wp:inline distT="0" distB="0" distL="0" distR="0" wp14:anchorId="49AF8E5A" wp14:editId="35A54999">
            <wp:extent cx="5930900" cy="3594100"/>
            <wp:effectExtent l="0" t="0" r="0" b="0"/>
            <wp:docPr id="1933068338" name="Picture 47" descr="A chart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8338" name="Picture 47" descr="A chart of different colo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0900" cy="3594100"/>
                    </a:xfrm>
                    <a:prstGeom prst="rect">
                      <a:avLst/>
                    </a:prstGeom>
                  </pic:spPr>
                </pic:pic>
              </a:graphicData>
            </a:graphic>
          </wp:inline>
        </w:drawing>
      </w:r>
    </w:p>
    <w:p w14:paraId="6A5AD488" w14:textId="0319A76A" w:rsidR="00A21CA9" w:rsidRDefault="00A21CA9" w:rsidP="00A21CA9">
      <w:pPr>
        <w:pStyle w:val="Figurecaption"/>
      </w:pPr>
      <w:bookmarkStart w:id="10" w:name="_Ref152430399"/>
      <w:r>
        <w:t xml:space="preserve">Figure </w:t>
      </w:r>
      <w:r>
        <w:fldChar w:fldCharType="begin"/>
      </w:r>
      <w:r>
        <w:instrText xml:space="preserve"> SEQ Figure \* ARABIC </w:instrText>
      </w:r>
      <w:r>
        <w:fldChar w:fldCharType="separate"/>
      </w:r>
      <w:r>
        <w:rPr>
          <w:noProof/>
        </w:rPr>
        <w:t>3</w:t>
      </w:r>
      <w:r>
        <w:fldChar w:fldCharType="end"/>
      </w:r>
      <w:bookmarkEnd w:id="10"/>
      <w:r>
        <w:t xml:space="preserve">: Interaction between two machine learning modeling parameters: the algorithm (on y-axis) and the class imbalance handling scheme (on x-axis). Results are shown for one input features group (Climate + Demographics + Buildings), but the trends are applicable to </w:t>
      </w:r>
      <w:r w:rsidR="00CF7BB2">
        <w:t>all groups</w:t>
      </w:r>
      <w:r>
        <w:t xml:space="preserve">. We binned the computation time for clarity. Computation time is the time it takes for model training included cross-validation and is binned as follows for clarity: fast (&lt; 30 s), medium (30 s to 2 min) and slow </w:t>
      </w:r>
      <w:r w:rsidR="00CF7BB2">
        <w:t>(</w:t>
      </w:r>
      <w:r>
        <w:t xml:space="preserve">&gt; 2 min). </w:t>
      </w:r>
    </w:p>
    <w:p w14:paraId="1C1CC5F6" w14:textId="433D6AEB" w:rsidR="00107E11" w:rsidRDefault="00CF7BB2" w:rsidP="00CF7BB2">
      <w:r>
        <w:t xml:space="preserve">The color of the point represents balanced </w:t>
      </w:r>
      <w:r w:rsidR="009F628B">
        <w:t>accuracy,</w:t>
      </w:r>
      <w:r>
        <w:t xml:space="preserve"> and the shape of the point represents the computation time binned into three groups, fast (&lt; </w:t>
      </w:r>
      <w:r w:rsidR="009F628B">
        <w:t>2</w:t>
      </w:r>
      <w:r>
        <w:t>0 s), medium (</w:t>
      </w:r>
      <w:r w:rsidR="009F628B">
        <w:t>2</w:t>
      </w:r>
      <w:r>
        <w:t xml:space="preserve">0 s to </w:t>
      </w:r>
      <w:r w:rsidR="009F628B">
        <w:t>1.5</w:t>
      </w:r>
      <w:r>
        <w:t xml:space="preserve"> min) and slow (&gt; </w:t>
      </w:r>
      <w:r w:rsidR="009F628B">
        <w:t>1.5</w:t>
      </w:r>
      <w:r>
        <w:t xml:space="preserve"> min).</w:t>
      </w:r>
      <w:r>
        <w:t xml:space="preserve"> From the plot, we can see that across all machine learning algorithms, no class imbalance handling scheme and class-weights had balanced accuracies near 50%, like a naïve model. We can also see that two machine learning algorithms, classification and regression trees and random forest had balanced accuracies near 50%</w:t>
      </w:r>
      <w:r w:rsidR="009F628B">
        <w:t>, like a naïve model,</w:t>
      </w:r>
      <w:r>
        <w:t xml:space="preserve"> across all </w:t>
      </w:r>
      <w:r>
        <w:t>class imbalance handling scheme</w:t>
      </w:r>
      <w:r>
        <w:t xml:space="preserve">s except ROSE. </w:t>
      </w:r>
      <w:r w:rsidR="009F628B">
        <w:t xml:space="preserve">Some machine learning algorithms like multivariate adaptive regression spline and random forest had consistently slow computation times across all class imbalance handling schemes. In some machine learning algorithms like penalized discriminant analysis and neural network, we find that up-sampling and SMOTE increase computation time relative to the other class imbalance handling schemes. Generalized linear models have the fastest computation times and models with </w:t>
      </w:r>
      <w:proofErr w:type="gramStart"/>
      <w:r w:rsidR="009F628B">
        <w:t>up-sampling</w:t>
      </w:r>
      <w:proofErr w:type="gramEnd"/>
      <w:r w:rsidR="009F628B">
        <w:t xml:space="preserve"> and SMOTE have balanced accuracies near the maximum of 85%. </w:t>
      </w:r>
      <w:r w:rsidR="002F58EA">
        <w:t xml:space="preserve">Generalized linear models with ROSE have balanced accuracy significantly worse than a naïve model. </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lastRenderedPageBreak/>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5AF1C0E2" w14:textId="77777777" w:rsidR="00D33A39" w:rsidRDefault="00676E06" w:rsidP="00B00160">
      <w:pPr>
        <w:pStyle w:val="Heading1"/>
      </w:pPr>
      <w:r>
        <w:t>Appendix</w:t>
      </w:r>
    </w:p>
    <w:p w14:paraId="21493F96" w14:textId="6319417A" w:rsidR="002B78CD" w:rsidRDefault="002B78CD" w:rsidP="00B00160">
      <w:pPr>
        <w:pStyle w:val="Heading1"/>
        <w:rPr>
          <w:b w:val="0"/>
        </w:rPr>
      </w:pPr>
      <w:r>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EAE3" w14:textId="77777777" w:rsidR="0034668C" w:rsidRDefault="0034668C" w:rsidP="00AE4592">
      <w:pPr>
        <w:spacing w:after="0" w:line="240" w:lineRule="auto"/>
      </w:pPr>
      <w:r>
        <w:separator/>
      </w:r>
    </w:p>
  </w:endnote>
  <w:endnote w:type="continuationSeparator" w:id="0">
    <w:p w14:paraId="254D65BE" w14:textId="77777777" w:rsidR="0034668C" w:rsidRDefault="0034668C"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83F75" w14:textId="77777777" w:rsidR="0034668C" w:rsidRDefault="0034668C" w:rsidP="00AE4592">
      <w:pPr>
        <w:spacing w:after="0" w:line="240" w:lineRule="auto"/>
      </w:pPr>
      <w:r>
        <w:separator/>
      </w:r>
    </w:p>
  </w:footnote>
  <w:footnote w:type="continuationSeparator" w:id="0">
    <w:p w14:paraId="3AE45B3C" w14:textId="77777777" w:rsidR="0034668C" w:rsidRDefault="0034668C"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0077F"/>
    <w:multiLevelType w:val="hybridMultilevel"/>
    <w:tmpl w:val="7584D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3"/>
  </w:num>
  <w:num w:numId="2" w16cid:durableId="100686636">
    <w:abstractNumId w:val="15"/>
  </w:num>
  <w:num w:numId="3" w16cid:durableId="906574746">
    <w:abstractNumId w:val="12"/>
  </w:num>
  <w:num w:numId="4" w16cid:durableId="2062048938">
    <w:abstractNumId w:val="19"/>
  </w:num>
  <w:num w:numId="5" w16cid:durableId="696345628">
    <w:abstractNumId w:val="17"/>
  </w:num>
  <w:num w:numId="6" w16cid:durableId="1607422847">
    <w:abstractNumId w:val="25"/>
  </w:num>
  <w:num w:numId="7" w16cid:durableId="15650672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6"/>
  </w:num>
  <w:num w:numId="9" w16cid:durableId="12939451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6"/>
  </w:num>
  <w:num w:numId="12" w16cid:durableId="83190068">
    <w:abstractNumId w:val="18"/>
  </w:num>
  <w:num w:numId="13" w16cid:durableId="1795176840">
    <w:abstractNumId w:val="13"/>
  </w:num>
  <w:num w:numId="14" w16cid:durableId="1088620933">
    <w:abstractNumId w:val="10"/>
  </w:num>
  <w:num w:numId="15" w16cid:durableId="920985585">
    <w:abstractNumId w:val="11"/>
  </w:num>
  <w:num w:numId="16" w16cid:durableId="1117917774">
    <w:abstractNumId w:val="24"/>
  </w:num>
  <w:num w:numId="17" w16cid:durableId="8023107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1"/>
  </w:num>
  <w:num w:numId="30" w16cid:durableId="484204395">
    <w:abstractNumId w:val="22"/>
  </w:num>
  <w:num w:numId="31" w16cid:durableId="1974365403">
    <w:abstractNumId w:val="20"/>
  </w:num>
  <w:num w:numId="32" w16cid:durableId="645744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267BE"/>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14CE"/>
    <w:rsid w:val="00062914"/>
    <w:rsid w:val="00062DBF"/>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15B"/>
    <w:rsid w:val="00083BD5"/>
    <w:rsid w:val="00085071"/>
    <w:rsid w:val="00085C89"/>
    <w:rsid w:val="000868EE"/>
    <w:rsid w:val="00086D01"/>
    <w:rsid w:val="00090203"/>
    <w:rsid w:val="000906F0"/>
    <w:rsid w:val="000927BB"/>
    <w:rsid w:val="00093321"/>
    <w:rsid w:val="00093416"/>
    <w:rsid w:val="00093E90"/>
    <w:rsid w:val="000A1641"/>
    <w:rsid w:val="000A1C26"/>
    <w:rsid w:val="000A288E"/>
    <w:rsid w:val="000A3677"/>
    <w:rsid w:val="000A4220"/>
    <w:rsid w:val="000A4B2D"/>
    <w:rsid w:val="000A4CF2"/>
    <w:rsid w:val="000A5675"/>
    <w:rsid w:val="000A56D6"/>
    <w:rsid w:val="000A5CE6"/>
    <w:rsid w:val="000A728F"/>
    <w:rsid w:val="000B3BB5"/>
    <w:rsid w:val="000B5D88"/>
    <w:rsid w:val="000B6193"/>
    <w:rsid w:val="000B67AA"/>
    <w:rsid w:val="000B759B"/>
    <w:rsid w:val="000C015F"/>
    <w:rsid w:val="000C0751"/>
    <w:rsid w:val="000C13B5"/>
    <w:rsid w:val="000C1A77"/>
    <w:rsid w:val="000C317B"/>
    <w:rsid w:val="000C40EF"/>
    <w:rsid w:val="000C4F94"/>
    <w:rsid w:val="000D0788"/>
    <w:rsid w:val="000D1006"/>
    <w:rsid w:val="000D468A"/>
    <w:rsid w:val="000D4BAC"/>
    <w:rsid w:val="000D5368"/>
    <w:rsid w:val="000D6134"/>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6D02"/>
    <w:rsid w:val="000F73A0"/>
    <w:rsid w:val="000F75CF"/>
    <w:rsid w:val="0010137A"/>
    <w:rsid w:val="00101CF2"/>
    <w:rsid w:val="001021F4"/>
    <w:rsid w:val="00102A0C"/>
    <w:rsid w:val="001039E0"/>
    <w:rsid w:val="001060D4"/>
    <w:rsid w:val="00106116"/>
    <w:rsid w:val="00106D39"/>
    <w:rsid w:val="001076D9"/>
    <w:rsid w:val="00107E11"/>
    <w:rsid w:val="00110078"/>
    <w:rsid w:val="00111CEB"/>
    <w:rsid w:val="00112CCC"/>
    <w:rsid w:val="001132AD"/>
    <w:rsid w:val="00114228"/>
    <w:rsid w:val="00115328"/>
    <w:rsid w:val="00115686"/>
    <w:rsid w:val="001158AC"/>
    <w:rsid w:val="00117094"/>
    <w:rsid w:val="00121142"/>
    <w:rsid w:val="00122B56"/>
    <w:rsid w:val="001236FB"/>
    <w:rsid w:val="00124A7A"/>
    <w:rsid w:val="001252A9"/>
    <w:rsid w:val="00125F1F"/>
    <w:rsid w:val="00127591"/>
    <w:rsid w:val="00127644"/>
    <w:rsid w:val="00132669"/>
    <w:rsid w:val="00133354"/>
    <w:rsid w:val="001372E4"/>
    <w:rsid w:val="001374BE"/>
    <w:rsid w:val="00144426"/>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1287"/>
    <w:rsid w:val="001A3EB7"/>
    <w:rsid w:val="001A6B21"/>
    <w:rsid w:val="001B0F05"/>
    <w:rsid w:val="001B17BE"/>
    <w:rsid w:val="001B4D5F"/>
    <w:rsid w:val="001C198C"/>
    <w:rsid w:val="001C2BEC"/>
    <w:rsid w:val="001C2F3A"/>
    <w:rsid w:val="001C3501"/>
    <w:rsid w:val="001C5B14"/>
    <w:rsid w:val="001C75BB"/>
    <w:rsid w:val="001C7846"/>
    <w:rsid w:val="001D443A"/>
    <w:rsid w:val="001D4C80"/>
    <w:rsid w:val="001D7169"/>
    <w:rsid w:val="001E0A37"/>
    <w:rsid w:val="001E1755"/>
    <w:rsid w:val="001E1907"/>
    <w:rsid w:val="001E25F6"/>
    <w:rsid w:val="001E2BF2"/>
    <w:rsid w:val="001E4131"/>
    <w:rsid w:val="001E5B80"/>
    <w:rsid w:val="001E617E"/>
    <w:rsid w:val="001E7121"/>
    <w:rsid w:val="001F3631"/>
    <w:rsid w:val="001F3A61"/>
    <w:rsid w:val="001F5BD9"/>
    <w:rsid w:val="00200E28"/>
    <w:rsid w:val="002023F5"/>
    <w:rsid w:val="002043B3"/>
    <w:rsid w:val="0020452B"/>
    <w:rsid w:val="002058CA"/>
    <w:rsid w:val="00206530"/>
    <w:rsid w:val="002152E2"/>
    <w:rsid w:val="00222880"/>
    <w:rsid w:val="00222B0C"/>
    <w:rsid w:val="002236F4"/>
    <w:rsid w:val="002258E4"/>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2029"/>
    <w:rsid w:val="0025391F"/>
    <w:rsid w:val="002543A5"/>
    <w:rsid w:val="002554EE"/>
    <w:rsid w:val="002605DB"/>
    <w:rsid w:val="00261EFA"/>
    <w:rsid w:val="00265DFE"/>
    <w:rsid w:val="00267025"/>
    <w:rsid w:val="002717D1"/>
    <w:rsid w:val="002725EF"/>
    <w:rsid w:val="00272B45"/>
    <w:rsid w:val="0027423C"/>
    <w:rsid w:val="00274310"/>
    <w:rsid w:val="00274451"/>
    <w:rsid w:val="00274820"/>
    <w:rsid w:val="00274C74"/>
    <w:rsid w:val="00274FDF"/>
    <w:rsid w:val="00275E1B"/>
    <w:rsid w:val="00277CFF"/>
    <w:rsid w:val="0028249F"/>
    <w:rsid w:val="00282889"/>
    <w:rsid w:val="002833A0"/>
    <w:rsid w:val="002833E9"/>
    <w:rsid w:val="002874D6"/>
    <w:rsid w:val="0029071F"/>
    <w:rsid w:val="00294202"/>
    <w:rsid w:val="002943F9"/>
    <w:rsid w:val="002952A6"/>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D7988"/>
    <w:rsid w:val="002E5134"/>
    <w:rsid w:val="002E59DF"/>
    <w:rsid w:val="002E78D9"/>
    <w:rsid w:val="002F0E75"/>
    <w:rsid w:val="002F0E76"/>
    <w:rsid w:val="002F3765"/>
    <w:rsid w:val="002F4DF2"/>
    <w:rsid w:val="002F58EA"/>
    <w:rsid w:val="002F5A7D"/>
    <w:rsid w:val="002F5D85"/>
    <w:rsid w:val="0030095F"/>
    <w:rsid w:val="003013E8"/>
    <w:rsid w:val="003015C3"/>
    <w:rsid w:val="00302722"/>
    <w:rsid w:val="00302810"/>
    <w:rsid w:val="003033D3"/>
    <w:rsid w:val="003034C1"/>
    <w:rsid w:val="00307F6D"/>
    <w:rsid w:val="00310FEF"/>
    <w:rsid w:val="003118E4"/>
    <w:rsid w:val="00311B43"/>
    <w:rsid w:val="00312ADE"/>
    <w:rsid w:val="00313C42"/>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668C"/>
    <w:rsid w:val="00347FAF"/>
    <w:rsid w:val="00350B52"/>
    <w:rsid w:val="00351C61"/>
    <w:rsid w:val="00351D9F"/>
    <w:rsid w:val="0035210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57DB"/>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E6672"/>
    <w:rsid w:val="003F1AAD"/>
    <w:rsid w:val="003F504D"/>
    <w:rsid w:val="003F534F"/>
    <w:rsid w:val="003F6D06"/>
    <w:rsid w:val="004031F2"/>
    <w:rsid w:val="00405503"/>
    <w:rsid w:val="00405A27"/>
    <w:rsid w:val="00412023"/>
    <w:rsid w:val="00412F3A"/>
    <w:rsid w:val="004138B0"/>
    <w:rsid w:val="00413E2E"/>
    <w:rsid w:val="004144F8"/>
    <w:rsid w:val="004206D8"/>
    <w:rsid w:val="00420AD7"/>
    <w:rsid w:val="0042172E"/>
    <w:rsid w:val="00422202"/>
    <w:rsid w:val="00422786"/>
    <w:rsid w:val="0042284E"/>
    <w:rsid w:val="004229A2"/>
    <w:rsid w:val="00423555"/>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5584"/>
    <w:rsid w:val="004662B4"/>
    <w:rsid w:val="0046691E"/>
    <w:rsid w:val="004707EC"/>
    <w:rsid w:val="00470C9D"/>
    <w:rsid w:val="00472389"/>
    <w:rsid w:val="0047252E"/>
    <w:rsid w:val="00472820"/>
    <w:rsid w:val="00474A4F"/>
    <w:rsid w:val="004767B8"/>
    <w:rsid w:val="00477D96"/>
    <w:rsid w:val="00477E44"/>
    <w:rsid w:val="00480033"/>
    <w:rsid w:val="00480829"/>
    <w:rsid w:val="00481E00"/>
    <w:rsid w:val="004840B8"/>
    <w:rsid w:val="004842B8"/>
    <w:rsid w:val="0048566D"/>
    <w:rsid w:val="00485EB8"/>
    <w:rsid w:val="0048763F"/>
    <w:rsid w:val="00490E0F"/>
    <w:rsid w:val="00492598"/>
    <w:rsid w:val="00495B28"/>
    <w:rsid w:val="004960B2"/>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24D"/>
    <w:rsid w:val="004D258B"/>
    <w:rsid w:val="004D2BEB"/>
    <w:rsid w:val="004D2C58"/>
    <w:rsid w:val="004D7661"/>
    <w:rsid w:val="004D7AFE"/>
    <w:rsid w:val="004D7B35"/>
    <w:rsid w:val="004E055D"/>
    <w:rsid w:val="004E14BC"/>
    <w:rsid w:val="004E3B93"/>
    <w:rsid w:val="004E3D6B"/>
    <w:rsid w:val="004E4228"/>
    <w:rsid w:val="004E4B9D"/>
    <w:rsid w:val="004E60ED"/>
    <w:rsid w:val="004E7892"/>
    <w:rsid w:val="004F160D"/>
    <w:rsid w:val="004F1D12"/>
    <w:rsid w:val="004F368C"/>
    <w:rsid w:val="004F5C57"/>
    <w:rsid w:val="004F5FA2"/>
    <w:rsid w:val="004F65CD"/>
    <w:rsid w:val="004F7CD2"/>
    <w:rsid w:val="005010F8"/>
    <w:rsid w:val="00501150"/>
    <w:rsid w:val="00503818"/>
    <w:rsid w:val="00503986"/>
    <w:rsid w:val="00503FFE"/>
    <w:rsid w:val="00504A12"/>
    <w:rsid w:val="00505C40"/>
    <w:rsid w:val="00511ED0"/>
    <w:rsid w:val="00514F8B"/>
    <w:rsid w:val="005157A9"/>
    <w:rsid w:val="005200B6"/>
    <w:rsid w:val="00521395"/>
    <w:rsid w:val="005214E6"/>
    <w:rsid w:val="0052206D"/>
    <w:rsid w:val="00523EC3"/>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216C"/>
    <w:rsid w:val="005632A3"/>
    <w:rsid w:val="005642B8"/>
    <w:rsid w:val="00564A1B"/>
    <w:rsid w:val="00565C19"/>
    <w:rsid w:val="00566E9B"/>
    <w:rsid w:val="005671DE"/>
    <w:rsid w:val="005679B0"/>
    <w:rsid w:val="00567EC6"/>
    <w:rsid w:val="00572867"/>
    <w:rsid w:val="00575165"/>
    <w:rsid w:val="00575941"/>
    <w:rsid w:val="00575CBD"/>
    <w:rsid w:val="00577C3B"/>
    <w:rsid w:val="0058043D"/>
    <w:rsid w:val="00580A3B"/>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08F"/>
    <w:rsid w:val="005B336F"/>
    <w:rsid w:val="005B5AD3"/>
    <w:rsid w:val="005B606E"/>
    <w:rsid w:val="005C0AEB"/>
    <w:rsid w:val="005C1C24"/>
    <w:rsid w:val="005C21ED"/>
    <w:rsid w:val="005D1769"/>
    <w:rsid w:val="005D5EAB"/>
    <w:rsid w:val="005D6626"/>
    <w:rsid w:val="005D6E94"/>
    <w:rsid w:val="005E0A0E"/>
    <w:rsid w:val="005E23F0"/>
    <w:rsid w:val="005E2CA9"/>
    <w:rsid w:val="005E40E6"/>
    <w:rsid w:val="005E45AA"/>
    <w:rsid w:val="005E48B5"/>
    <w:rsid w:val="005E6B24"/>
    <w:rsid w:val="005E7CB0"/>
    <w:rsid w:val="005F0C76"/>
    <w:rsid w:val="005F303F"/>
    <w:rsid w:val="005F79DD"/>
    <w:rsid w:val="006007AD"/>
    <w:rsid w:val="00600BD8"/>
    <w:rsid w:val="00601869"/>
    <w:rsid w:val="00605C64"/>
    <w:rsid w:val="00605CCD"/>
    <w:rsid w:val="0060625D"/>
    <w:rsid w:val="0060667C"/>
    <w:rsid w:val="006067C6"/>
    <w:rsid w:val="00611306"/>
    <w:rsid w:val="00612265"/>
    <w:rsid w:val="00612546"/>
    <w:rsid w:val="0061284C"/>
    <w:rsid w:val="0061373A"/>
    <w:rsid w:val="006145F0"/>
    <w:rsid w:val="00616214"/>
    <w:rsid w:val="00616845"/>
    <w:rsid w:val="006261C1"/>
    <w:rsid w:val="00627537"/>
    <w:rsid w:val="0062754A"/>
    <w:rsid w:val="006304F8"/>
    <w:rsid w:val="00632A5A"/>
    <w:rsid w:val="00635D9E"/>
    <w:rsid w:val="006360C4"/>
    <w:rsid w:val="0063651F"/>
    <w:rsid w:val="00636EE7"/>
    <w:rsid w:val="006377F7"/>
    <w:rsid w:val="00637DFD"/>
    <w:rsid w:val="006429A4"/>
    <w:rsid w:val="00644D5D"/>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A64D0"/>
    <w:rsid w:val="006B0268"/>
    <w:rsid w:val="006B120E"/>
    <w:rsid w:val="006B1CF8"/>
    <w:rsid w:val="006B3452"/>
    <w:rsid w:val="006B5092"/>
    <w:rsid w:val="006B798A"/>
    <w:rsid w:val="006C1F84"/>
    <w:rsid w:val="006C347B"/>
    <w:rsid w:val="006C34C5"/>
    <w:rsid w:val="006C4562"/>
    <w:rsid w:val="006C61B1"/>
    <w:rsid w:val="006C6FB9"/>
    <w:rsid w:val="006D16F2"/>
    <w:rsid w:val="006D1A34"/>
    <w:rsid w:val="006D5163"/>
    <w:rsid w:val="006D691F"/>
    <w:rsid w:val="006D78AB"/>
    <w:rsid w:val="006E1A73"/>
    <w:rsid w:val="006E2322"/>
    <w:rsid w:val="006E3111"/>
    <w:rsid w:val="006E4ACA"/>
    <w:rsid w:val="006E4BA2"/>
    <w:rsid w:val="006E707D"/>
    <w:rsid w:val="006E762C"/>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03DC"/>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1EC2"/>
    <w:rsid w:val="00793EAB"/>
    <w:rsid w:val="007951CF"/>
    <w:rsid w:val="007A0758"/>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2A45"/>
    <w:rsid w:val="007E38C3"/>
    <w:rsid w:val="007E4136"/>
    <w:rsid w:val="007E4F68"/>
    <w:rsid w:val="007E5875"/>
    <w:rsid w:val="007E7901"/>
    <w:rsid w:val="007F1F0F"/>
    <w:rsid w:val="007F34F6"/>
    <w:rsid w:val="007F4734"/>
    <w:rsid w:val="007F543F"/>
    <w:rsid w:val="007F777A"/>
    <w:rsid w:val="008012A2"/>
    <w:rsid w:val="008019A8"/>
    <w:rsid w:val="00803FAE"/>
    <w:rsid w:val="00805B9F"/>
    <w:rsid w:val="0080613F"/>
    <w:rsid w:val="00807346"/>
    <w:rsid w:val="008074AB"/>
    <w:rsid w:val="00812A9F"/>
    <w:rsid w:val="00812F32"/>
    <w:rsid w:val="0081394D"/>
    <w:rsid w:val="00813D18"/>
    <w:rsid w:val="00815C83"/>
    <w:rsid w:val="00816F41"/>
    <w:rsid w:val="00817667"/>
    <w:rsid w:val="0082049E"/>
    <w:rsid w:val="00821785"/>
    <w:rsid w:val="00823CA8"/>
    <w:rsid w:val="00824B51"/>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2461"/>
    <w:rsid w:val="00845E9D"/>
    <w:rsid w:val="00845ED4"/>
    <w:rsid w:val="0084626C"/>
    <w:rsid w:val="0084793B"/>
    <w:rsid w:val="00850ADA"/>
    <w:rsid w:val="00852A5F"/>
    <w:rsid w:val="00853CB5"/>
    <w:rsid w:val="00854EAB"/>
    <w:rsid w:val="00857812"/>
    <w:rsid w:val="0085782D"/>
    <w:rsid w:val="00860310"/>
    <w:rsid w:val="00860688"/>
    <w:rsid w:val="00867688"/>
    <w:rsid w:val="00870A3C"/>
    <w:rsid w:val="00872EB9"/>
    <w:rsid w:val="00873F90"/>
    <w:rsid w:val="00874715"/>
    <w:rsid w:val="008747BA"/>
    <w:rsid w:val="00874CA3"/>
    <w:rsid w:val="008756BA"/>
    <w:rsid w:val="0087642C"/>
    <w:rsid w:val="00877615"/>
    <w:rsid w:val="008802C6"/>
    <w:rsid w:val="008819F2"/>
    <w:rsid w:val="00883912"/>
    <w:rsid w:val="00884B30"/>
    <w:rsid w:val="00887A62"/>
    <w:rsid w:val="008918B8"/>
    <w:rsid w:val="00891C29"/>
    <w:rsid w:val="00891DE7"/>
    <w:rsid w:val="00893353"/>
    <w:rsid w:val="0089399E"/>
    <w:rsid w:val="00893D20"/>
    <w:rsid w:val="00895636"/>
    <w:rsid w:val="008A0F02"/>
    <w:rsid w:val="008A12A1"/>
    <w:rsid w:val="008A4F82"/>
    <w:rsid w:val="008A53EB"/>
    <w:rsid w:val="008B05EB"/>
    <w:rsid w:val="008B07F6"/>
    <w:rsid w:val="008B1AB3"/>
    <w:rsid w:val="008B1EB2"/>
    <w:rsid w:val="008B3BE5"/>
    <w:rsid w:val="008B5715"/>
    <w:rsid w:val="008B6669"/>
    <w:rsid w:val="008B717C"/>
    <w:rsid w:val="008B79DE"/>
    <w:rsid w:val="008C0F20"/>
    <w:rsid w:val="008C1980"/>
    <w:rsid w:val="008C1A4F"/>
    <w:rsid w:val="008C4766"/>
    <w:rsid w:val="008C4B83"/>
    <w:rsid w:val="008C7BDB"/>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31B5"/>
    <w:rsid w:val="008F3A22"/>
    <w:rsid w:val="008F61DF"/>
    <w:rsid w:val="008F77BC"/>
    <w:rsid w:val="009010E4"/>
    <w:rsid w:val="00904E0A"/>
    <w:rsid w:val="0091134F"/>
    <w:rsid w:val="00911EB2"/>
    <w:rsid w:val="00911F42"/>
    <w:rsid w:val="00917FDC"/>
    <w:rsid w:val="00920F9E"/>
    <w:rsid w:val="00922C10"/>
    <w:rsid w:val="0092394F"/>
    <w:rsid w:val="009255B9"/>
    <w:rsid w:val="00925AB0"/>
    <w:rsid w:val="00926B83"/>
    <w:rsid w:val="00926E1D"/>
    <w:rsid w:val="009303DB"/>
    <w:rsid w:val="009305C1"/>
    <w:rsid w:val="00931A71"/>
    <w:rsid w:val="00933F30"/>
    <w:rsid w:val="00934D50"/>
    <w:rsid w:val="009354D5"/>
    <w:rsid w:val="00936357"/>
    <w:rsid w:val="00937DB8"/>
    <w:rsid w:val="0094353F"/>
    <w:rsid w:val="00945AEA"/>
    <w:rsid w:val="00945DA7"/>
    <w:rsid w:val="00946505"/>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42"/>
    <w:rsid w:val="00987ED6"/>
    <w:rsid w:val="00993DD2"/>
    <w:rsid w:val="00995A0B"/>
    <w:rsid w:val="00995AB3"/>
    <w:rsid w:val="00995F5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36C7"/>
    <w:rsid w:val="009F628B"/>
    <w:rsid w:val="009F6370"/>
    <w:rsid w:val="009F71F4"/>
    <w:rsid w:val="009F7225"/>
    <w:rsid w:val="00A00600"/>
    <w:rsid w:val="00A00CD8"/>
    <w:rsid w:val="00A0128F"/>
    <w:rsid w:val="00A02147"/>
    <w:rsid w:val="00A054A5"/>
    <w:rsid w:val="00A07011"/>
    <w:rsid w:val="00A070C8"/>
    <w:rsid w:val="00A139B2"/>
    <w:rsid w:val="00A1410E"/>
    <w:rsid w:val="00A14C96"/>
    <w:rsid w:val="00A20CCC"/>
    <w:rsid w:val="00A20ECE"/>
    <w:rsid w:val="00A21CA9"/>
    <w:rsid w:val="00A232DA"/>
    <w:rsid w:val="00A2348B"/>
    <w:rsid w:val="00A2453B"/>
    <w:rsid w:val="00A2524A"/>
    <w:rsid w:val="00A25549"/>
    <w:rsid w:val="00A2772E"/>
    <w:rsid w:val="00A30BE5"/>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32F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1FE4"/>
    <w:rsid w:val="00AB26DA"/>
    <w:rsid w:val="00AB35D0"/>
    <w:rsid w:val="00AB37C2"/>
    <w:rsid w:val="00AB79BB"/>
    <w:rsid w:val="00AB7EB4"/>
    <w:rsid w:val="00AC1A3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BC9"/>
    <w:rsid w:val="00B01CED"/>
    <w:rsid w:val="00B021AC"/>
    <w:rsid w:val="00B04043"/>
    <w:rsid w:val="00B047A1"/>
    <w:rsid w:val="00B0720E"/>
    <w:rsid w:val="00B07675"/>
    <w:rsid w:val="00B11127"/>
    <w:rsid w:val="00B11A34"/>
    <w:rsid w:val="00B11EA6"/>
    <w:rsid w:val="00B12A97"/>
    <w:rsid w:val="00B14A90"/>
    <w:rsid w:val="00B17CFE"/>
    <w:rsid w:val="00B20925"/>
    <w:rsid w:val="00B20A06"/>
    <w:rsid w:val="00B218E7"/>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4978"/>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A7FCC"/>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C66FC"/>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E7B24"/>
    <w:rsid w:val="00BF1C71"/>
    <w:rsid w:val="00BF22A6"/>
    <w:rsid w:val="00BF2F85"/>
    <w:rsid w:val="00BF38F5"/>
    <w:rsid w:val="00BF3D58"/>
    <w:rsid w:val="00BF4B91"/>
    <w:rsid w:val="00BF51EB"/>
    <w:rsid w:val="00BF5CF5"/>
    <w:rsid w:val="00BF67D9"/>
    <w:rsid w:val="00C015FC"/>
    <w:rsid w:val="00C02B78"/>
    <w:rsid w:val="00C03C04"/>
    <w:rsid w:val="00C0525F"/>
    <w:rsid w:val="00C05818"/>
    <w:rsid w:val="00C06218"/>
    <w:rsid w:val="00C106C8"/>
    <w:rsid w:val="00C10B3E"/>
    <w:rsid w:val="00C1100A"/>
    <w:rsid w:val="00C11518"/>
    <w:rsid w:val="00C12940"/>
    <w:rsid w:val="00C13496"/>
    <w:rsid w:val="00C13C60"/>
    <w:rsid w:val="00C142C3"/>
    <w:rsid w:val="00C151D6"/>
    <w:rsid w:val="00C15E7E"/>
    <w:rsid w:val="00C170BA"/>
    <w:rsid w:val="00C20CFE"/>
    <w:rsid w:val="00C232EA"/>
    <w:rsid w:val="00C236CD"/>
    <w:rsid w:val="00C257AD"/>
    <w:rsid w:val="00C26EFC"/>
    <w:rsid w:val="00C35781"/>
    <w:rsid w:val="00C35CCC"/>
    <w:rsid w:val="00C36DDA"/>
    <w:rsid w:val="00C37C28"/>
    <w:rsid w:val="00C41428"/>
    <w:rsid w:val="00C41E03"/>
    <w:rsid w:val="00C42310"/>
    <w:rsid w:val="00C428A9"/>
    <w:rsid w:val="00C42FC1"/>
    <w:rsid w:val="00C43ED5"/>
    <w:rsid w:val="00C44412"/>
    <w:rsid w:val="00C457EF"/>
    <w:rsid w:val="00C459ED"/>
    <w:rsid w:val="00C45A90"/>
    <w:rsid w:val="00C46EED"/>
    <w:rsid w:val="00C5281C"/>
    <w:rsid w:val="00C53796"/>
    <w:rsid w:val="00C54F6F"/>
    <w:rsid w:val="00C55331"/>
    <w:rsid w:val="00C57B21"/>
    <w:rsid w:val="00C600B4"/>
    <w:rsid w:val="00C626C9"/>
    <w:rsid w:val="00C6321C"/>
    <w:rsid w:val="00C63E79"/>
    <w:rsid w:val="00C64391"/>
    <w:rsid w:val="00C6465B"/>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0D8D"/>
    <w:rsid w:val="00CA1E1E"/>
    <w:rsid w:val="00CA48FB"/>
    <w:rsid w:val="00CA7532"/>
    <w:rsid w:val="00CB09E2"/>
    <w:rsid w:val="00CB0A37"/>
    <w:rsid w:val="00CB3ADA"/>
    <w:rsid w:val="00CB3FAE"/>
    <w:rsid w:val="00CB4583"/>
    <w:rsid w:val="00CB56CD"/>
    <w:rsid w:val="00CB6DE5"/>
    <w:rsid w:val="00CC2EEF"/>
    <w:rsid w:val="00CC31C9"/>
    <w:rsid w:val="00CC39D8"/>
    <w:rsid w:val="00CC3C31"/>
    <w:rsid w:val="00CC4A1A"/>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CF7BB2"/>
    <w:rsid w:val="00D00305"/>
    <w:rsid w:val="00D00B11"/>
    <w:rsid w:val="00D00E6B"/>
    <w:rsid w:val="00D024AD"/>
    <w:rsid w:val="00D02B2D"/>
    <w:rsid w:val="00D036AF"/>
    <w:rsid w:val="00D06019"/>
    <w:rsid w:val="00D063B5"/>
    <w:rsid w:val="00D066D9"/>
    <w:rsid w:val="00D11F23"/>
    <w:rsid w:val="00D13CC3"/>
    <w:rsid w:val="00D14470"/>
    <w:rsid w:val="00D14861"/>
    <w:rsid w:val="00D14F67"/>
    <w:rsid w:val="00D159E6"/>
    <w:rsid w:val="00D15D56"/>
    <w:rsid w:val="00D16A20"/>
    <w:rsid w:val="00D21425"/>
    <w:rsid w:val="00D2391D"/>
    <w:rsid w:val="00D23AF7"/>
    <w:rsid w:val="00D25567"/>
    <w:rsid w:val="00D25629"/>
    <w:rsid w:val="00D26F50"/>
    <w:rsid w:val="00D27259"/>
    <w:rsid w:val="00D277CF"/>
    <w:rsid w:val="00D27F42"/>
    <w:rsid w:val="00D30AB4"/>
    <w:rsid w:val="00D30F53"/>
    <w:rsid w:val="00D33A39"/>
    <w:rsid w:val="00D34EA6"/>
    <w:rsid w:val="00D36EE5"/>
    <w:rsid w:val="00D412DA"/>
    <w:rsid w:val="00D41655"/>
    <w:rsid w:val="00D41C07"/>
    <w:rsid w:val="00D4211A"/>
    <w:rsid w:val="00D45797"/>
    <w:rsid w:val="00D45913"/>
    <w:rsid w:val="00D459CC"/>
    <w:rsid w:val="00D46F7C"/>
    <w:rsid w:val="00D51758"/>
    <w:rsid w:val="00D51851"/>
    <w:rsid w:val="00D52117"/>
    <w:rsid w:val="00D528BB"/>
    <w:rsid w:val="00D5376D"/>
    <w:rsid w:val="00D53DB5"/>
    <w:rsid w:val="00D54524"/>
    <w:rsid w:val="00D54DB0"/>
    <w:rsid w:val="00D54DE7"/>
    <w:rsid w:val="00D54E9E"/>
    <w:rsid w:val="00D567C4"/>
    <w:rsid w:val="00D56D97"/>
    <w:rsid w:val="00D56E09"/>
    <w:rsid w:val="00D63419"/>
    <w:rsid w:val="00D65675"/>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B7EB6"/>
    <w:rsid w:val="00DC1328"/>
    <w:rsid w:val="00DC446E"/>
    <w:rsid w:val="00DC4A3C"/>
    <w:rsid w:val="00DD7D98"/>
    <w:rsid w:val="00DE1297"/>
    <w:rsid w:val="00DE4323"/>
    <w:rsid w:val="00DE694C"/>
    <w:rsid w:val="00DE77B3"/>
    <w:rsid w:val="00DF19AF"/>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51843"/>
    <w:rsid w:val="00E54868"/>
    <w:rsid w:val="00E55A3D"/>
    <w:rsid w:val="00E55CB9"/>
    <w:rsid w:val="00E55F7D"/>
    <w:rsid w:val="00E57ABE"/>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3FA1"/>
    <w:rsid w:val="00E95673"/>
    <w:rsid w:val="00E963B6"/>
    <w:rsid w:val="00E963D3"/>
    <w:rsid w:val="00E9659E"/>
    <w:rsid w:val="00E97EBB"/>
    <w:rsid w:val="00EA226E"/>
    <w:rsid w:val="00EA345A"/>
    <w:rsid w:val="00EA3D4A"/>
    <w:rsid w:val="00EA447A"/>
    <w:rsid w:val="00EB0582"/>
    <w:rsid w:val="00EB0857"/>
    <w:rsid w:val="00EB0F0F"/>
    <w:rsid w:val="00EB130A"/>
    <w:rsid w:val="00EB1D10"/>
    <w:rsid w:val="00EB2658"/>
    <w:rsid w:val="00EB2C92"/>
    <w:rsid w:val="00EB2CAE"/>
    <w:rsid w:val="00EB5318"/>
    <w:rsid w:val="00EC1B97"/>
    <w:rsid w:val="00EC209A"/>
    <w:rsid w:val="00EC4798"/>
    <w:rsid w:val="00EC4C7F"/>
    <w:rsid w:val="00EC52E1"/>
    <w:rsid w:val="00EC650E"/>
    <w:rsid w:val="00EC74CF"/>
    <w:rsid w:val="00EC74F1"/>
    <w:rsid w:val="00EC79CC"/>
    <w:rsid w:val="00ED00ED"/>
    <w:rsid w:val="00ED07AE"/>
    <w:rsid w:val="00ED0A50"/>
    <w:rsid w:val="00ED50F0"/>
    <w:rsid w:val="00ED54D3"/>
    <w:rsid w:val="00ED634A"/>
    <w:rsid w:val="00ED6697"/>
    <w:rsid w:val="00ED682F"/>
    <w:rsid w:val="00EE070C"/>
    <w:rsid w:val="00EE0E74"/>
    <w:rsid w:val="00EE1188"/>
    <w:rsid w:val="00EE24E1"/>
    <w:rsid w:val="00EE252F"/>
    <w:rsid w:val="00EE26FC"/>
    <w:rsid w:val="00EE332D"/>
    <w:rsid w:val="00EE439B"/>
    <w:rsid w:val="00EE636A"/>
    <w:rsid w:val="00EE6FB0"/>
    <w:rsid w:val="00EE78BE"/>
    <w:rsid w:val="00EF0C65"/>
    <w:rsid w:val="00EF13F0"/>
    <w:rsid w:val="00EF2B85"/>
    <w:rsid w:val="00EF347C"/>
    <w:rsid w:val="00EF5C05"/>
    <w:rsid w:val="00EF7959"/>
    <w:rsid w:val="00F01577"/>
    <w:rsid w:val="00F05519"/>
    <w:rsid w:val="00F11D26"/>
    <w:rsid w:val="00F12CEC"/>
    <w:rsid w:val="00F13BF5"/>
    <w:rsid w:val="00F16B2C"/>
    <w:rsid w:val="00F202A8"/>
    <w:rsid w:val="00F211C8"/>
    <w:rsid w:val="00F224CB"/>
    <w:rsid w:val="00F25135"/>
    <w:rsid w:val="00F26CFB"/>
    <w:rsid w:val="00F305DE"/>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5D9E"/>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078"/>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33A"/>
    <w:rsid w:val="00FD17B5"/>
    <w:rsid w:val="00FD5F2C"/>
    <w:rsid w:val="00FD666F"/>
    <w:rsid w:val="00FD6C63"/>
    <w:rsid w:val="00FD7A32"/>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E9F33F47-7288-364E-BD77-48DDAE89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 w:type="character" w:customStyle="1" w:styleId="apple-converted-space">
    <w:name w:val="apple-converted-space"/>
    <w:basedOn w:val="DefaultParagraphFont"/>
    <w:rsid w:val="0094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40404</Words>
  <Characters>230306</Characters>
  <Application>Microsoft Office Word</Application>
  <DocSecurity>0</DocSecurity>
  <Lines>1919</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8</cp:revision>
  <dcterms:created xsi:type="dcterms:W3CDTF">2023-12-01T03:33:00Z</dcterms:created>
  <dcterms:modified xsi:type="dcterms:W3CDTF">2023-12-02T22:45:00Z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id="QRjJ0sb8"/&gt;&lt;style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